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Tabla 4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0"/>
          <w:szCs w:val="20"/>
          <w:color w:val="000000"/>
        </w:rPr>
        <w:t xml:space="preserve">Probabilidad predicha de apoyo y rechazo de los conceptos de H1 por bloque político, Ley N.º 21.735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0"/>
        <w:gridCol w:w="1499"/>
        <w:gridCol w:w="1499"/>
        <w:gridCol w:w="1837"/>
        <w:gridCol w:w="1499"/>
        <w:gridCol w:w="1399"/>
        <w:gridCol w:w="1837"/>
      </w:tblGrid>
      <w:tr>
        <w:trPr>
          <w:cantSplit/>
          <w:trHeight w:val="524" w:hRule="auto"/>
          <w:tblHeader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Apoyo</w:t>
            </w:r>
          </w:p>
        </w:tc>
        <w:tc>
          <w:tcPr>
            <w:gridSpan w:val="3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Rechazo</w:t>
            </w:r>
          </w:p>
        </w:tc>
      </w:tr>
      <w:tr>
        <w:trPr>
          <w:cantSplit/>
          <w:trHeight w:val="519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Izquierda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Derecha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Δ (pp)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Izquierda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Derecha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Δ (pp)</w:t>
            </w:r>
          </w:p>
        </w:tc>
      </w:tr>
      <w:tr>
        <w:trPr>
          <w:cantSplit/>
          <w:trHeight w:val="504" w:hRule="auto"/>
        </w:trPr>
        <w:tc>
          <w:tcPr>
            <w:gridSpan w:val="7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Conceptos esperados en la derecha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Propiedad de los fondos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9,1 [5,4; 13,7]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56,7 [47,8; 65,7]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47,6 [37,8; 57,6]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3,0 [0,4; 6,5]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0,4 [0,1; 0,4]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−2,6 [−6,2; −0,2]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Previsión como mercado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20,7 [13,6; 27,9]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42,5 [35,9; 49,5]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21,9 [13,6; 30,6]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50,3 [41,2; 59,7]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9,8 [5,4; 14,4]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−40,5 [−51,4; −30,5]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Ineficiencia y riesgo estatal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1,7 [0,6; 3,3]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40,9 [31,4; 50,4]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39,2 [29,7; 48,9]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9,4 [5,2; 13,6]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 [2,7; 10,7]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−2,8 [−8,4; 2,8]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Capitalización 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 [0,6; 2,5]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38,2 [29,8; 46,0]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36,9 [28,5; 44,9]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22,9 [16,3; 30,2]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 [0,3; 2,8]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−21,5 [−29,6; −15,1]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Reciprocidad contributiva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35,2 [27,7; 42,8]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35,7 [27,1; 44,6]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0,5 [−10,8; 12,5]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0,1 [0,1; 0,1]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0,1 [0,0; 0,1]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0,0 [0,0; 0,0]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Conciencia de costos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6,9 [2,7; 11,3]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29,3 [22,7; 36,7]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22,4 [15,2; 30,1]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5,1 [1,5; 8,7]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10,6 [6,1; 16,3]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5,6 [0,1; 12,0]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Libertad de elección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15,0 [9,6; 20,9]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18,9 [13,0; 24,9]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3,9 [−4,0; 11,6]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0,6 [0,1; 1,6]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0,7 [0,0; 2,1]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0,1 [−1,0; 1,7]</w:t>
            </w:r>
          </w:p>
        </w:tc>
      </w:tr>
      <w:tr>
        <w:trPr>
          <w:cantSplit/>
          <w:trHeight w:val="504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Conceptos esperados en la izquierda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Necesidad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60,9 [53,1; 69,7]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31,0 [23,3; 38,9]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−29,9 [−41,6; −19,2]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0,1 [0,1; 0,1]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0,1 [0,0; 0,1]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0,0 [0,0; 0,0]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Igualdad y universalismo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32,4 [24,8; 39,9]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27,4 [19,8; 35,2]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−4,9 [−14,2; 4,6]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0,2 [0,1; 0,3]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0,5 [0,0; 2,2]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0,3 [0,0; 2,0]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Solidaridad colectiva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13,3 [8,0; 18,7]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3,6 [1,3; 6,2]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−9,7 [−16,0; −3,9]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0,3 [0,1; 0,3]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 [0,0; 4,6]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 [0,0; 4,4]</w:t>
            </w:r>
          </w:p>
        </w:tc>
      </w:tr>
      <w:tr>
        <w:trPr>
          <w:cantSplit/>
          <w:trHeight w:val="50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Solidaridad intergeneracional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9,0 [5,2; 13,6]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1,7 [0,7; 3,0]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−7,3 [−12,1; −3,5]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0,9 [0,2; 2,1]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13,8 [8,0; 19,9]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12,9 [7,2; 19,3]</w:t>
            </w:r>
          </w:p>
        </w:tc>
      </w:tr>
      <w:tr>
        <w:trPr>
          <w:cantSplit/>
          <w:trHeight w:val="524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Origen dictatorial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27,6 [21,3; 34,9]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 [0,7; 1,3]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−26,5 [−34,0; −20,3]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0,1 [0,1; 0,1]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0,1 [0,0; 0,1]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0,0 [0,0; 0,0]</w:t>
            </w:r>
          </w:p>
        </w:tc>
      </w:tr>
      <w:tr>
        <w:trPr>
          <w:cantSplit/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Nota.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Probabilidad predicha (%) de que una intervención sustantiva apoye o rechace cada concepto, a partir de dos modelos logísticos multinivel (apoyo y rechazo), e intervalos de confianza del 95 % entre corchetes, obtenidos con 1.000 remuestreos de actores dentro de cada bloque. Δ corresponde a derecha menos izquierda, en puntos porcentuales. 4.212 observaciones (intervención × concepto) de 351 intervenciones y 183 actores. La especificación se presenta en el Anexo 4.</w:t>
            </w:r>
          </w:p>
        </w:tc>
      </w:tr>
    </w:tbl>
    <w:sectPr>
      <w:pgMar w:header="708" w:bottom="648" w:top="648" w:right="1008" w:left="1008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2026-10-26T15:48:48Z</dcterms:modified>
  <cp:category/>
</cp:coreProperties>
</file>