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Tabla 6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0"/>
          <w:szCs w:val="20"/>
          <w:color w:val="000000"/>
        </w:rPr>
        <w:t xml:space="preserve">Probabilidad predicha de apoyo a la necesidad material y a la igualdad por bloque político, debates de la PGU y del sistema mixto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82"/>
        <w:gridCol w:w="1499"/>
        <w:gridCol w:w="1499"/>
        <w:gridCol w:w="1624"/>
        <w:gridCol w:w="1499"/>
        <w:gridCol w:w="1499"/>
        <w:gridCol w:w="1499"/>
        <w:gridCol w:w="1669"/>
      </w:tblGrid>
      <w:tr>
        <w:trPr>
          <w:cantSplit/>
          <w:trHeight w:val="524" w:hRule="auto"/>
          <w:tblHeader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PGU</w:t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Sistema mixto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</w:tr>
      <w:tr>
        <w:trPr>
          <w:cantSplit/>
          <w:trHeight w:val="519" w:hRule="auto"/>
          <w:tblHeader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Δ (pp)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Cambio de Δ (pp)</w:t>
            </w:r>
          </w:p>
        </w:tc>
      </w:tr>
      <w:tr>
        <w:trPr>
          <w:cantSplit/>
          <w:trHeight w:val="504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Necesidad material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52,6 [39,5; 67,1]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53,9 [42,6; 65,3]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−1,3 [−17,8; 16,6]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65,3 [56,4; 74,1]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29,8 [21,2; 38,9]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35,5 [22,6; 48,4]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36,8 [15,4; 56,9]</w:t>
            </w:r>
          </w:p>
        </w:tc>
      </w:tr>
      <w:tr>
        <w:trPr>
          <w:cantSplit/>
          <w:trHeight w:val="524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Igualdad y universalismo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49,9 [38,5; 61,5]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32,2 [19,6; 45,2]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17,7 [1,7; 35,3]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31,6 [24,3; 39,4]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26,6 [18,9; 34,5]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5,0 [−5,3; 15,3]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−12,7 [−31,1; 6,1]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Probabilidad predicha (%) de que una intervención sustantiva apoye el concepto, a partir de un modelo logístico multinivel por concepto, e intervalos de confianza del 95 % entre corchetes, obtenidos con 1.000 remuestreos de actores dentro de cada bloque. Δ corresponde a izquierda menos derecha, en puntos porcentuales, y la última columna, a su cambio entre el sistema mixto y la PGU. 530 intervenciones de 221 actores de izquierda y de derecha. La especificación se presenta en el Anexo 4.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2026-10-26T15:49:02Z</dcterms:modified>
  <cp:category/>
</cp:coreProperties>
</file>