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3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Precisión (P), sensibilidad (S) y F0,5 ponderados por concepto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179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"/>
                <w:szCs w:val="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"/>
                <w:szCs w:val="2"/>
                <w:color w:val="000000"/>
              </w:rPr>
              <w:t xml:space="preserve">n humano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"/>
                <w:szCs w:val="2"/>
                <w:color w:val="000000"/>
              </w:rPr>
              <w:t xml:space="preserve">n Luna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"/>
                <w:szCs w:val="2"/>
                <w:color w:val="000000"/>
              </w:rPr>
              <w:t xml:space="preserve">n Haiku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"/>
                <w:szCs w:val="2"/>
                <w:color w:val="000000"/>
              </w:rPr>
              <w:t xml:space="preserve">Luna P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"/>
                <w:szCs w:val="2"/>
                <w:color w:val="000000"/>
              </w:rPr>
              <w:t xml:space="preserve">Luna 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"/>
                <w:szCs w:val="2"/>
                <w:color w:val="000000"/>
              </w:rPr>
              <w:t xml:space="preserve">Luna F0,5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"/>
                <w:szCs w:val="2"/>
                <w:color w:val="000000"/>
              </w:rPr>
              <w:t xml:space="preserve">Haiku P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"/>
                <w:szCs w:val="2"/>
                <w:color w:val="000000"/>
              </w:rPr>
              <w:t xml:space="preserve">Haiku 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"/>
                <w:szCs w:val="2"/>
                <w:color w:val="000000"/>
              </w:rPr>
              <w:t xml:space="preserve">Haiku F0,5</w:t>
            </w:r>
          </w:p>
        </w:tc>
      </w:tr>
      <w:tr>
        <w:trPr>
          <w:cantSplit/>
          <w:trHeight w:val="144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Previsión como mercado, negocio e incentivos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0,834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0,609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0,776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0,715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0,764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0,724</w:t>
            </w:r>
          </w:p>
        </w:tc>
      </w:tr>
      <w:tr>
        <w:trPr>
          <w:cantSplit/>
          <w:trHeight w:val="1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Necesidad material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0,521</w:t>
            </w:r>
          </w:p>
        </w:tc>
      </w:tr>
      <w:tr>
        <w:trPr>
          <w:cantSplit/>
          <w:trHeight w:val="1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Acuerdos y moderación democrática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0,710</w:t>
            </w:r>
          </w:p>
        </w:tc>
      </w:tr>
      <w:tr>
        <w:trPr>
          <w:cantSplit/>
          <w:trHeight w:val="1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Capitalización individual como regla de autofinanciamiento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0,752</w:t>
            </w:r>
          </w:p>
        </w:tc>
      </w:tr>
      <w:tr>
        <w:trPr>
          <w:cantSplit/>
          <w:trHeight w:val="1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Igualdad y universalismo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0,726</w:t>
            </w:r>
          </w:p>
        </w:tc>
      </w:tr>
      <w:tr>
        <w:trPr>
          <w:cantSplit/>
          <w:trHeight w:val="1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Reciprocidad contributiva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0,738</w:t>
            </w:r>
          </w:p>
        </w:tc>
      </w:tr>
      <w:tr>
        <w:trPr>
          <w:cantSplit/>
          <w:trHeight w:val="1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Ineficiencia y riesgo estatal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0,801</w:t>
            </w:r>
          </w:p>
        </w:tc>
      </w:tr>
      <w:tr>
        <w:trPr>
          <w:cantSplit/>
          <w:trHeight w:val="1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Propiedad individual de los fondos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0,726</w:t>
            </w:r>
          </w:p>
        </w:tc>
      </w:tr>
      <w:tr>
        <w:trPr>
          <w:cantSplit/>
          <w:trHeight w:val="1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Solidaridad como deber colectivo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0,623</w:t>
            </w:r>
          </w:p>
        </w:tc>
      </w:tr>
      <w:tr>
        <w:trPr>
          <w:cantSplit/>
          <w:trHeight w:val="1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Conciencia de costos como restricción de gasto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0,479</w:t>
            </w:r>
          </w:p>
        </w:tc>
      </w:tr>
      <w:tr>
        <w:trPr>
          <w:cantSplit/>
          <w:trHeight w:val="1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Ilegitimidad del origen dictatorial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0,950</w:t>
            </w:r>
          </w:p>
        </w:tc>
      </w:tr>
      <w:tr>
        <w:trPr>
          <w:cantSplit/>
          <w:trHeight w:val="1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Libertad de elección previsional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0,726</w:t>
            </w:r>
          </w:p>
        </w:tc>
      </w:tr>
      <w:tr>
        <w:trPr>
          <w:cantSplit/>
          <w:trHeight w:val="1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Identidad y pertenencia grupal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0,505</w:t>
            </w:r>
          </w:p>
        </w:tc>
      </w:tr>
      <w:tr>
        <w:trPr>
          <w:cantSplit/>
          <w:trHeight w:val="1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Control y responsabilidad 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0,259</w:t>
            </w:r>
          </w:p>
        </w:tc>
      </w:tr>
      <w:tr>
        <w:trPr>
          <w:cantSplit/>
          <w:trHeight w:val="1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Solidaridad intergeneracional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0,486</w:t>
            </w:r>
          </w:p>
        </w:tc>
      </w:tr>
      <w:tr>
        <w:trPr>
          <w:cantSplit/>
          <w:trHeight w:val="164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Actitud del beneficiario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0,000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0,000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gridSpan w:val="10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"/>
                <w:szCs w:val="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"/>
                <w:szCs w:val="2"/>
                <w:color w:val="000000"/>
              </w:rPr>
              <w:t xml:space="preserve">Nota. n: bloques evaluados con el concepto asignado. Un valor vacío indica que la métrica no está definida porque el concepto no tiene casos positivos.</w:t>
            </w:r>
          </w:p>
        </w:tc>
      </w:tr>
    </w:tbl>
    <w:sectPr>
      <w:pgMar w:header="708" w:bottom="648" w:top="648" w:right="1008" w:left="1008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2026-10-09T17:22:16Z</dcterms:modified>
  <cp:category/>
</cp:coreProperties>
</file>