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9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Coeficientes de concordancia en la tarea de concepto, por ley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7"/>
        <w:gridCol w:w="2570"/>
        <w:gridCol w:w="1080"/>
        <w:gridCol w:w="1080"/>
        <w:gridCol w:w="1691"/>
        <w:gridCol w:w="1677"/>
      </w:tblGrid>
      <w:tr>
        <w:trPr>
          <w:cantSplit/>
          <w:trHeight w:val="587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Ley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Codificadores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Cohen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Fleiss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Krippendorff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AC1 de Gwet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21.419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Humano–Luna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0,599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0,599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0,949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0,954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Luna–Haiku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0,973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Humano, Luna y 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0,959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0,967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0,964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Luna–Haiku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0,997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Humano, Luna y 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0,976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0,938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0,933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Luna–Haiku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0,958</w:t>
            </w:r>
          </w:p>
        </w:tc>
      </w:tr>
      <w:tr>
        <w:trPr>
          <w:cantSplit/>
          <w:trHeight w:val="572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21.735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Humano, Luna y Haiku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0,736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0,736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0,943</w:t>
            </w:r>
          </w:p>
        </w:tc>
      </w:tr>
      <w:tr>
        <w:trPr>
          <w:cantSplit/>
          <w:trHeight w:val="360" w:hRule="auto"/>
        </w:trPr>
        <w:tc>
          <w:tcPr>
            <w:gridSpan w:val="6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Nota. Sin ponderar. Cohen solo para pares y Fleiss solo para los tres codificadores.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2026-10-09T17:22:24Z</dcterms:modified>
  <cp:category/>
</cp:coreProperties>
</file>