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11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Coeficientes de concordancia en la tarea de concepto, por género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97"/>
        <w:gridCol w:w="2570"/>
        <w:gridCol w:w="1080"/>
        <w:gridCol w:w="1080"/>
        <w:gridCol w:w="1691"/>
        <w:gridCol w:w="1677"/>
      </w:tblGrid>
      <w:tr>
        <w:trPr>
          <w:cantSplit/>
          <w:trHeight w:val="587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Género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Codificadores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Cohen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Fleiss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Krippendorff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AC1 de Gwet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Hombre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Humano–Luna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0,947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0,945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Luna–Haiku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0,968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Humano, Luna y 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0,953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0,929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0,927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Luna–Haiku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0,953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Humano, Luna y 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0,936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Sin dato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0,945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Sin dato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0,922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Sin dato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Luna–Haiku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0,966</w:t>
            </w:r>
          </w:p>
        </w:tc>
      </w:tr>
      <w:tr>
        <w:trPr>
          <w:cantSplit/>
          <w:trHeight w:val="572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Sin dato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Humano, Luna y Haiku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0,944</w:t>
            </w:r>
          </w:p>
        </w:tc>
      </w:tr>
      <w:tr>
        <w:trPr>
          <w:cantSplit/>
          <w:trHeight w:val="360" w:hRule="auto"/>
        </w:trPr>
        <w:tc>
          <w:tcPr>
            <w:gridSpan w:val="6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Nota. Sin ponderar. Cohen solo para pares y Fleiss solo para los tres codificadores.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2026-10-09T17:22:26Z</dcterms:modified>
  <cp:category/>
</cp:coreProperties>
</file>