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13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Coeficientes de concordancia en la tarea de concepto, por alineación política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50"/>
        <w:gridCol w:w="2570"/>
        <w:gridCol w:w="1080"/>
        <w:gridCol w:w="1080"/>
        <w:gridCol w:w="1691"/>
        <w:gridCol w:w="1677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Alineación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Codificadores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Cohen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Fleiss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Krippendorff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AC1 de Gwet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Izquierda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0,942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Izquierda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0,940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Izquierda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0,964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Izquierda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Humano, Luna y 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Centro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0,929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Centro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0,941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Centro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0,968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Centro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Humano, Luna y 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0,946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0,946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0,939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0,962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Humano, Luna y 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partidista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0,911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partidista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0,939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partidista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0,970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partidista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Humano, Luna y Haiku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0,940</w:t>
            </w:r>
          </w:p>
        </w:tc>
      </w:tr>
      <w:tr>
        <w:trPr>
          <w:cantSplit/>
          <w:trHeight w:val="360" w:hRule="auto"/>
        </w:trPr>
        <w:tc>
          <w:tcPr>
            <w:gridSpan w:val="6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 Sin ponderar. Cohen solo para pares y Fleiss solo para los tres codificadores.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2026-10-09T17:22:28Z</dcterms:modified>
  <cp:category/>
</cp:coreProperties>
</file>