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  <w:jc w:val="left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true"/>
          <w:u w:val="none"/>
          <w:strike w:val="false"/>
          <w:sz w:val="24"/>
          <w:szCs w:val="24"/>
          <w:color w:val="000000"/>
        </w:rPr>
        <w:t xml:space="preserve">Tabla 1</w:t>
      </w:r>
    </w:p>
    <w:p>
      <w:pPr>
        <w:pStyle w:val="Normal"/>
        <w:jc w:val="left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true"/>
          <w:b w:val="false"/>
          <w:u w:val="none"/>
          <w:strike w:val="false"/>
          <w:sz w:val="24"/>
          <w:szCs w:val="24"/>
          <w:color w:val="000000"/>
        </w:rPr>
        <w:t xml:space="preserve">Alfa de Krippendorff y F1 por tarea y par de codificadores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81"/>
        <w:gridCol w:w="1330"/>
        <w:gridCol w:w="1418"/>
        <w:gridCol w:w="1392"/>
        <w:gridCol w:w="1480"/>
        <w:gridCol w:w="1161"/>
        <w:gridCol w:w="1249"/>
      </w:tblGrid>
      <w:tr>
        <w:trPr>
          <w:cantSplit/>
          <w:trHeight w:val="347" w:hRule="auto"/>
          <w:tblHeader/>
        </w:trPr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Tarea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α Humano–Luna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F1 Humano–Luna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α Humano–Haiku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F1 Humano–Haiku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α Luna–Haiku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F1 Luna–Haiku</w:t>
            </w:r>
          </w:p>
        </w:tc>
      </w:tr>
      <w:tr>
        <w:trPr>
          <w:cantSplit/>
          <w:trHeight w:val="312" w:hRule="auto"/>
        </w:trPr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Detección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0,562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0,913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0,563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0,915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0,780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0,961</w:t>
            </w:r>
          </w:p>
        </w:tc>
      </w:tr>
      <w:tr>
        <w:trPr>
          <w:cantSplit/>
          <w:trHeight w:val="3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Concepto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0,684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0,710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0,694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0,721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0,817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0,834</w:t>
            </w:r>
          </w:p>
        </w:tc>
      </w:tr>
      <w:tr>
        <w:trPr>
          <w:cantSplit/>
          <w:trHeight w:val="3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Concepto (media por concepto)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0,665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0,693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0,674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0,703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0,814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0,832</w:t>
            </w:r>
          </w:p>
        </w:tc>
      </w:tr>
      <w:tr>
        <w:trPr>
          <w:cantSplit/>
          <w:trHeight w:val="332" w:hRule="auto"/>
        </w:trPr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Concepto y postura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0,684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0,697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0,692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0,706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0,812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0,821</w:t>
            </w:r>
          </w:p>
        </w:tc>
      </w:tr>
      <w:tr>
        <w:trPr>
          <w:cantSplit/>
          <w:trHeight w:val="360" w:hRule="auto"/>
        </w:trPr>
        <w:tc>
          <w:tcPr>
            <w:gridSpan w:val="7"/>
            <w:tcBorders>
              <w:bottom w:val="single" w:sz="16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Nota. Sin ponderar. Bloques evaluados: 359 de 360 (se excluye el bloque irresoluble). F1 equivale al acuerdo específico positivo.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ismaelaguayob</cp:lastModifiedBy>
  <cp:revision>9</cp:revision>
  <dcterms:created xsi:type="dcterms:W3CDTF">2017-02-28T11:18:00Z</dcterms:created>
  <dcterms:modified xsi:type="dcterms:W3CDTF">2026-10-09T21:48:30Z</dcterms:modified>
  <cp:category/>
</cp:coreProperties>
</file>