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2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Concordancia entre la referencia humana y Luna-6 por concepto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36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299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α humano–Luna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IC 95 %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Nivel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F1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α Luna–Haiku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Se incluye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Previsión como mercado, negocio e incentivos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0,704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0,60–0,79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0,667–0,80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0,754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0,801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Necesidad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0,55–0,76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&lt; 0,667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Acuerdos y moderación democrática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0,62–0,84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0,667–0,80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Capitalización individual como regla de autofinanciamiento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0,58–0,83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0,667–0,80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Reciprocidad contributiva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0,56–0,81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0,667–0,80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Igualdad y universalismo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0,38–0,68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&lt; 0,667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Ineficiencia y riesgo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0,54–0,83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0,667–0,80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Propiedad individual de los fondos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0,71–0,92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≥ 0,80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Solidaridad como deber colectivo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0,38–0,74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&lt; 0,667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Conciencia de costos como restricción de gasto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0,47–0,79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&lt; 0,667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Ilegitimidad del origen dictatorial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0,74–0,97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≥ 0,80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Libertad de elección previsional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0,61–0,92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0,667–0,80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Identidad y pertenencia grupal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0,26–0,66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&lt; 0,667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Control y responsabilidad individual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0,17–0,66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&lt; 0,667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Solidaridad intergeneracional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0,37–0,79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&lt; 0,667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84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Actitud del beneficiario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 evaluable</w:t>
            </w:r>
          </w:p>
        </w:tc>
      </w:tr>
      <w:tr>
        <w:trPr>
          <w:cantSplit/>
          <w:trHeight w:val="360" w:hRule="auto"/>
        </w:trPr>
        <w:tc>
          <w:tcPr>
            <w:gridSpan w:val="8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Nota. n: bloques con el concepto en la referencia. IC 95 %: remuestreo de bloques (2.000). Se excluye un concepto si todo su intervalo queda bajo 0,667. Nivel: convenciones de Krippendorff, orientativas.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2026-10-09T21:48:32Z</dcterms:modified>
  <cp:category/>
</cp:coreProperties>
</file>