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S4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Concordancia entre la referencia humana y Haiku 5.5 por concepto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36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299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α humano–Haiku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IC 95 %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F1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Precisión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Sensibilidad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Se incluiría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Previsión como mercado, negocio e incentivos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0,757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0,66–0,84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0,806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0,734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0,892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Necesidad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0,43–0,66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Acuerdos y moderación democrática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0,62–0,84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Capitalización individual como regla de autofinanciamiento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0,57–0,80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Reciprocidad contributiva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0,60–0,84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Igualdad y universalismo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0,56–0,82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Ineficiencia y riesgo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0,58–0,85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Propiedad individual de los fondos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0,68–0,89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Solidaridad como deber colectivo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0,46–0,79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Conciencia de costos como restricción de gasto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0,35–0,67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Ilegitimidad del origen dictatorial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0,78–0,98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Libertad de elección previsional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0,61–0,91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Identidad y pertenencia grupal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0,25–0,68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Control y responsabilidad individual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0,20–0,72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284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Solidaridad intergeneracional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0,605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0,36–0,79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0,621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0,529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0,750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Sí</w:t>
            </w:r>
          </w:p>
        </w:tc>
      </w:tr>
      <w:tr>
        <w:trPr>
          <w:cantSplit/>
          <w:trHeight w:val="360" w:hRule="auto"/>
        </w:trPr>
        <w:tc>
          <w:tcPr>
            <w:gridSpan w:val="8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Nota. IC 95 %: remuestreo de bloques (2.000). Misma regla de inclusión que con Luna-6.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2026-10-09T21:48:38Z</dcterms:modified>
  <cp:category/>
</cp:coreProperties>
</file>