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Tabla 7</w:t>
      </w:r>
    </w:p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2"/>
          <w:szCs w:val="22"/>
          <w:color w:val="000000"/>
        </w:rPr>
        <w:t xml:space="preserve">Presencia del repertorio de mercado en las fases de la Cámara: probabilidades predichas y modelo logístico multinivel, Ley N.º 21.735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84"/>
        <w:gridCol w:w="1633"/>
        <w:gridCol w:w="1633"/>
        <w:gridCol w:w="1661"/>
      </w:tblGrid>
      <w:tr>
        <w:trPr>
          <w:cantSplit/>
          <w:trHeight w:val="563" w:hRule="auto"/>
          <w:tblHeader/>
        </w:trPr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Concepto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Cámara 2024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Cámara 2025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Cambio (pp)</w:t>
            </w:r>
          </w:p>
        </w:tc>
      </w:tr>
      <w:tr>
        <w:trPr>
          <w:cantSplit/>
          <w:trHeight w:val="528" w:hRule="auto"/>
        </w:trPr>
        <w:tc>
          <w:tcPr>
            <w:gridSpan w:val="4"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Panel A. Probabilidad predicha de presencia (%) y cambio 2025 − 2024 (pp)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Repertorio (promedio)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28,3 [24,7; 32,5]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28,8 [25,5; 32,5]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0,5 [−3,4; 4,3]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Previsión como mercado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45,3 [36,6; 54,1]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57,9 [48,9; 66,0]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12,7 [0,9; 23,1]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Propiedad de los fondos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27,7 [19,7; 36,7]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 [24,6; 39,9]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 [−4,6; 13,5]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Reciprocidad contributiva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35,4 [27,6; 44,1]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34,2 [26,1; 42,3]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−1,1 [−11,2; 8,8]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Libertad de elección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16,4 [9,7; 23,4]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15,1 [9,4; 21,4]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−1,2 [−10,4; 7,3]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Conciencia de costos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17,1 [10,2; 25,0]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15,1 [9,6; 21,1]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−2,0 [−10,7; 5,7]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Ineficiencia y riesgo estatal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27,0 [19,2; 36,0]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22,3 [16,3; 29,7]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−4,7 [−13,9; 5,0]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Capitalización individual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29,3 [22,2; 37,4]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24,3 [17,8; 31,9]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−5,0 [−13,7; 3,6]</w:t>
            </w:r>
          </w:p>
        </w:tc>
      </w:tr>
      <w:tr>
        <w:trPr>
          <w:cantSplit/>
          <w:trHeight w:val="528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Panel B. Parámetros del modelo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Centro (OR)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0,54 [0,31; 0,91]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Derecha (OR)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2,39 [1,83; 3,11]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partidista (OR)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0,69 [0,27; 1,75]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Mujer (OR)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1,37 [1,05; 1,78]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Palabras, log estandarizado (OR)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2,26 [1,87; 2,72]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 del intercepto: actor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0,33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 (intervención × concepto)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2.002</w:t>
            </w:r>
          </w:p>
        </w:tc>
      </w:tr>
      <w:tr>
        <w:trPr>
          <w:cantSplit/>
          <w:trHeight w:val="548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Actores</w:t>
            </w:r>
          </w:p>
        </w:tc>
        <w:tc>
          <w:tcPr>
            <w:gridSpan w:val="3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</w:t>
            </w:r>
          </w:p>
        </w:tc>
      </w:tr>
      <w:tr>
        <w:trPr>
          <w:cantSplit/>
          <w:trHeight w:val="360" w:hRule="auto"/>
        </w:trPr>
        <w:tc>
          <w:tcPr>
            <w:gridSpan w:val="4"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Nota.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Panel A: probabilidad predicha (%) de que una intervención sustantiva mencione cada concepto, con apoyo o rechazo, e intervalos de confianza del 95 % entre corchetes, obtenidos con 1.000 remuestreos de actores; el repertorio corresponde al promedio de los siete conceptos. Panel B: razones de probabilidades (OR) con intervalos de confianza del 95 % de Wald (referencias: izquierda y hombre) y desviación estándar (DE), en escala logit, del intercepto aleatorio por actor. El modelo incluye además el concepto, la fase y su interacción como efectos fijos.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ismaelaguayob</cp:lastModifiedBy>
  <cp:revision>9</cp:revision>
  <dcterms:created xsi:type="dcterms:W3CDTF">2017-02-28T11:18:00Z</dcterms:created>
  <dcterms:modified xsi:type="dcterms:W3CDTF">2026-10-26T12:43:12Z</dcterms:modified>
  <cp:category/>
</cp:coreProperties>
</file>