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S2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Apoyo y rechazo de los conceptos de H1 por bloque político: probabilidades predichas y modelos logísticos multinivel, Ley N.º 21.735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5"/>
        <w:gridCol w:w="1499"/>
        <w:gridCol w:w="1499"/>
        <w:gridCol w:w="1837"/>
        <w:gridCol w:w="1499"/>
        <w:gridCol w:w="1399"/>
        <w:gridCol w:w="1837"/>
      </w:tblGrid>
      <w:tr>
        <w:trPr>
          <w:cantSplit/>
          <w:trHeight w:val="524" w:hRule="auto"/>
          <w:tblHeader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Apoyo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Rechazo</w:t>
            </w:r>
          </w:p>
        </w:tc>
      </w:tr>
      <w:tr>
        <w:trPr>
          <w:cantSplit/>
          <w:trHeight w:val="519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Diferencia (pp)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Diferencia (pp)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Panel A. Probabilidad predicha (%) y diferencia derecha − izquierda (pp)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derecha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Propiedad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9,1 [5,4; 13,7]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56,7 [47,8; 65,7]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47,6 [37,8; 57,6]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3,0 [0,4; 6,5]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0,4 [0,1; 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−2,6 [−6,2; −0,2]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20,7 [13,6; 27,9]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42,5 [35,9; 49,5]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21,9 [13,6; 30,6]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50,3 [41,2; 59,7]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9,8 [5,4; 14,4]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−40,5 [−51,4; −30,5]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[0,6; 3,3]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40,9 [31,4; 50,4]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39,2 [29,7; 48,9]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9,4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6,6 [2,7; 10,7]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−2,8 [−8,4; 2,8]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[0,6; 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38,2 [29,8; 46,0]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36,9 [28,5; 44,9]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22,9 [16,3; 30,2]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[0,3; 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−21,5 [−29,6; −15,1]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35,2 [27,7; 42,8]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35,7 [27,1; 44,6]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 [−10,8; 12,5]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6,9 [2,7; 11,3]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29,3 [22,7; 36,7]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22,4 [15,2; 30,1]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5,1 [1,5; 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10,6 [6,1; 16,3]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5,6 [0,1; 12,0]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15,0 [9,6; 20,9]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18,9 [13,0; 24,9]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3,9 [−4,0; 11,6]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 [0,1; 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 [0,0;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[−1,0; 1,7]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izquierda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60,9 [53,1; 69,7]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31,0 [23,3; 38,9]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−29,9 [−41,6; −19,2]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32,4 [24,8; 39,9]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27,4 [19,8; 35,2]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−4,9 [−14,2; 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0,2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 [0,0; 2,2]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 [0,0; 2,0]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13,3 [8,0; 18,7]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3,6 [1,3; 6,2]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−9,7 [−16,0; −3,9]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 [0,0; 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 [0,0; 4,4]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9,0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[0,7; 3,0]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−7,3 [−12,1; −3,5]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 [0,2;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13,8 [8,0; 19,9]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12,9 [7,2; 19,3]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27,6 [21,3; 34,9]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1,1 [0,7; 1,3]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−26,5 [−34,0; −20,3]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Panel B. Parámetros del modelo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Mujer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 [1,08; 1,65]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1,44 [0,99; 2,10]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Palabras, log estandarizado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2,61 [2,27; 3,00]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2,41 [1,90; 3,07]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actor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0,33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0,50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concepto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0,66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2,17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concepto × bloque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1,37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Observaciones (intervención × concepto)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4.212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4.212</w:t>
            </w:r>
          </w:p>
        </w:tc>
      </w:tr>
      <w:tr>
        <w:trPr>
          <w:cantSplit/>
          <w:trHeight w:val="524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Actores</w:t>
            </w:r>
          </w:p>
        </w:tc>
        <w:tc>
          <w:tcPr>
            <w:gridSpan w:val="3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</w:t>
            </w:r>
          </w:p>
        </w:tc>
        <w:tc>
          <w:tcPr>
            <w:gridSpan w:val="3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Panel A: porcentaje predicho de intervenciones sustantivas que apoyan o rechazan cada concepto e intervalos de confianza del 95 % entre corchetes, obtenidos con 1.000 remuestreos de actores dentro de cada bloque; la diferencia corresponde a derecha menos izquierda, en puntos porcentuales (pp). Panel B: razones de probabilidades (OR) con intervalos de confianza del 95 % de Wald (referencia: hombre) y desviaciones estándar (DE), en escala logit, de los interceptos aleatorios. Ambos modelos incluyen además el bloque como efecto fijo.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2026-10-20T23:58:22Z</dcterms:modified>
  <cp:category/>
</cp:coreProperties>
</file>