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2"/>
          <w:szCs w:val="22"/>
          <w:color w:val="000000"/>
        </w:rPr>
        <w:t xml:space="preserve">Tabla 6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Composición y estabilidad de las comunidades detectadas, Ley N.º 21.735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90"/>
        <w:gridCol w:w="613"/>
        <w:gridCol w:w="750"/>
        <w:gridCol w:w="571"/>
        <w:gridCol w:w="656"/>
        <w:gridCol w:w="976"/>
        <w:gridCol w:w="988"/>
        <w:gridCol w:w="9044"/>
      </w:tblGrid>
      <w:tr>
        <w:trPr>
          <w:cantSplit/>
          <w:trHeight w:val="563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Coalición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Actores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Izquierda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Centro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Derecha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No partidista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Coasignación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Partidos principales</w:t>
            </w:r>
          </w:p>
        </w:tc>
      </w:tr>
      <w:tr>
        <w:trPr>
          <w:cantSplit/>
          <w:trHeight w:val="528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Preservación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86 %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1 %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0,98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Partido Unión Demócrata Independiente (23); Partido Renovación Nacional (22); Partido Republicano De Chile (14); Partido Social Cristiano (8)</w:t>
            </w:r>
          </w:p>
        </w:tc>
      </w:tr>
      <w:tr>
        <w:trPr>
          <w:cantSplit/>
          <w:trHeight w:val="548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Transformación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13 %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3 %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1,00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Partido Socialista de Chile (19); Partido Comunista de Chile (16); Partido Por la Democracia (13); Partido Frente Amplio (9)</w:t>
            </w:r>
          </w:p>
        </w:tc>
      </w:tr>
      <w:tr>
        <w:trPr>
          <w:cantSplit/>
          <w:trHeight w:val="360" w:hRule="auto"/>
        </w:trPr>
        <w:tc>
          <w:tcPr>
            <w:gridSpan w:val="8"/>
            <w:tcBorders>
              <w:bottom w:val="none" w:sz="0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Partición de mayor modularidad entre 50 ejecuciones de signed spin-glass. Coasignación: proporción media de ejecuciones en que dos actores de la comunidad quedan juntos. Entre paréntesis, número de actores de cada partido.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2026-10-26T19:50:44Z</dcterms:modified>
  <cp:category/>
</cp:coreProperties>
</file>