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Tabla 8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Probabilidad predicha de presencia de los conceptos del repertorio de mercado por fase de la Cámara, Ley N.º 21.735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3"/>
        <w:gridCol w:w="1633"/>
        <w:gridCol w:w="1633"/>
        <w:gridCol w:w="1661"/>
      </w:tblGrid>
      <w:tr>
        <w:trPr>
          <w:cantSplit/>
          <w:trHeight w:val="563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Cámara 2024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Cámara 2025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 (pp)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Repertorio (promedio)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 [24,7; 32,5]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28,8 [25,5; 32,5]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 [−3,4; 4,3]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45,3 [36,6; 54,1]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 [48,9; 66,0]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12,7 [0,9; 23,1]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Propiedad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 [19,7; 36,7]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 [24,6; 39,9]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 [−4,6; 13,5]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35,4 [27,6; 44,1]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34,2 [26,1; 42,3]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−1,1 [−11,2; 8,8]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16,4 [9,7; 23,4]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 [9,4; 21,4]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−1,2 [−10,4; 7,3]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17,1 [10,2; 25,0]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 [9,6; 21,1]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−2,0 [−10,7; 5,7]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27,0 [19,2; 36,0]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22,3 [16,3; 29,7]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−4,7 [−13,9; 5,0]</w:t>
            </w:r>
          </w:p>
        </w:tc>
      </w:tr>
      <w:tr>
        <w:trPr>
          <w:cantSplit/>
          <w:trHeight w:val="548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29,3 [22,2; 37,4]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24,3 [17,8; 31,9]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−5,0 [−13,7; 3,6]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Probabilidad predicha (%) de que una intervención sustantiva mencione cada concepto, con apoyo o rechazo, a partir de un modelo logístico multinivel, e intervalos de confianza del 95 % entre corchetes, obtenidos con 1.000 remuestreos de actores. El repertorio corresponde al promedio de los siete conceptos. Δ corresponde a 2025 menos 2024, en puntos porcentuales. 2.002 observaciones (intervención × concepto) de 286 intervenciones y 145 actores. La especificación se presenta en el Anexo 4.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2026-10-26T19:51:11Z</dcterms:modified>
  <cp:category/>
</cp:coreProperties>
</file>