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Tabla 4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Concordancia entre la referencia humana y los modelos por concepto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56"/>
        <w:gridCol w:w="380"/>
        <w:gridCol w:w="1028"/>
        <w:gridCol w:w="1310"/>
        <w:gridCol w:w="545"/>
        <w:gridCol w:w="1633"/>
        <w:gridCol w:w="3136"/>
        <w:gridCol w:w="1523"/>
      </w:tblGrid>
      <w:tr>
        <w:trPr>
          <w:cantSplit/>
          <w:trHeight w:val="548" w:hRule="auto"/>
          <w:tblHeader/>
        </w:trPr>
        <w:tc>
          <w:tcPr>
            <w:gridSpan w:val="2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Referencia humana y GPT-6 Luna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Referencia humana y Haiku 5.5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Entre modelos</w:t>
            </w:r>
          </w:p>
        </w:tc>
      </w:tr>
      <w:tr>
        <w:trPr>
          <w:cantSplit/>
          <w:trHeight w:val="543" w:hRule="auto"/>
          <w:tblHeader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Precisión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Sensibilidad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α [IC 95 %]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α [IC 95 %]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α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Previsión como mercado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0,70 [0,60; 0,80]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0,76 [0,67; 0,84]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0,80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Necesidad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0,66 [0,55; 0,76]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0,55 [0,43; 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0,85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Acuerdos y moderación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0,74 [0,62; 0,84]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0,73 [0,62; 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0,81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Capitalización individual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0,72 [0,58; 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0,69 [0,56; 0,80]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0,64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Reciprocidad contributiva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0,69 [0,55; 0,81]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0,73 [0,60; 0,84]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0,86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Igualdad y universalismo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0,54 [0,38; 0,67]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0,70 [0,56; 0,82]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0,76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Ineficiencia y riesgo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0,70 [0,54; 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0,73 [0,59; 0,85]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0,85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Propiedad de los fondos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0,82 [0,70; 0,91]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0,80 [0,68; 0,89]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0,86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Solidaridad colectiva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0,58 [0,38; 0,74]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0,64 [0,46; 0,79]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0,74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Conciencia de costos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0,64 [0,46; 0,79]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0,52 [0,35; 0,68]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0,78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Origen dictatorial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0,88 [0,75; 0,97]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0,90 [0,79; 0,98]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0,92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Libertad de elección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0,79 [0,63; 0,92]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0,78 [0,61; 0,90]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0,93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Identidad*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0,48 [0,27; 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0,49 [0,26; 0,68]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0,70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 individual*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0,44 [0,17; 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0,48 [0,19; 0,71]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0,91</w:t>
            </w:r>
          </w:p>
        </w:tc>
      </w:tr>
      <w:tr>
        <w:trPr>
          <w:cantSplit/>
          <w:trHeight w:val="548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Solidaridad intergeneracional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0,61 [0,36; 0,80]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0,61 [0,36; 0,80]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0,82</w:t>
            </w:r>
          </w:p>
        </w:tc>
      </w:tr>
      <w:tr>
        <w:trPr>
          <w:cantSplit/>
          <w:trHeight w:val="360" w:hRule="auto"/>
        </w:trPr>
        <w:tc>
          <w:tcPr>
            <w:gridSpan w:val="8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n: fragmentos con el concepto en la referencia humana, de 359 evaluados. La precisión, la sensibilidad y el F1 comparan las asignaciones de GPT-6 Luna con la referencia humana; no se calculan para Claude Haiku 5.5. α: alfa de Krippendorff, con intervalos de confianza del 95 % entre corchetes (10.000 remuestreos de fragmentos). * Concepto excluido de los análisis, porque todo su intervalo con GPT-6 Luna queda bajo 0,667. Actitud no aparece porque la referencia humana no lo asigna.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2026-10-26T19:50:23Z</dcterms:modified>
  <cp:category/>
</cp:coreProperties>
</file>