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S2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Apoyo y rechazo de los conceptos de H1 por bloque político: probabilidades predichas y modelos logísticos multinivel, Ley N.º 21.735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5"/>
        <w:gridCol w:w="1499"/>
        <w:gridCol w:w="1499"/>
        <w:gridCol w:w="1837"/>
        <w:gridCol w:w="1499"/>
        <w:gridCol w:w="1399"/>
        <w:gridCol w:w="1837"/>
      </w:tblGrid>
      <w:tr>
        <w:trPr>
          <w:cantSplit/>
          <w:trHeight w:val="524" w:hRule="auto"/>
          <w:tblHeader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Apoyo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Rechazo</w:t>
            </w:r>
          </w:p>
        </w:tc>
      </w:tr>
      <w:tr>
        <w:trPr>
          <w:cantSplit/>
          <w:trHeight w:val="519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Diferencia (pp)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Diferencia (pp)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Panel A. Probabilidad predicha (%) y diferencia derecha − izquierda (pp)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derecha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Propiedad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9,1 [5,4; 13,7]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56,7 [47,8; 65,7]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47,6 [37,8; 57,6]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3,0 [0,4; 6,5]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0,4 [0,1; 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−2,6 [−6,2; −0,2]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20,7 [13,6; 27,9]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42,5 [35,9; 49,5]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21,9 [13,6; 30,6]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50,3 [41,2; 59,7]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9,8 [5,4; 14,4]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−40,5 [−51,4; −30,5]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[0,6; 3,3]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40,9 [31,4; 50,4]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39,2 [29,7; 48,9]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9,4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6,6 [2,7; 10,7]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−2,8 [−8,4; 2,8]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[0,6; 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38,2 [29,8; 46,0]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36,9 [28,5; 44,9]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22,9 [16,3; 30,2]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[0,3; 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−21,5 [−29,6; −15,1]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35,2 [27,7; 42,8]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35,7 [27,1; 44,6]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 [−10,8; 12,5]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6,9 [2,7; 11,3]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29,3 [22,7; 36,7]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22,4 [15,2; 30,1]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5,1 [1,5; 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10,6 [6,1; 16,3]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5,6 [0,1; 12,0]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15,0 [9,6; 20,9]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18,9 [13,0; 24,9]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3,9 [−4,0; 11,6]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 [0,1; 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 [0,0;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[−1,0; 1,7]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izquierda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60,9 [53,1; 69,7]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31,0 [23,3; 38,9]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−29,9 [−41,6; −19,2]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32,4 [24,8; 39,9]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27,4 [19,8; 35,2]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−4,9 [−14,2; 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0,2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 [0,0; 2,2]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 [0,0; 2,0]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13,3 [8,0; 18,7]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3,6 [1,3; 6,2]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−9,7 [−16,0; −3,9]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 [0,0; 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 [0,0; 4,4]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9,0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[0,7; 3,0]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−7,3 [−12,1; −3,5]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 [0,2;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13,8 [8,0; 19,9]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12,9 [7,2; 19,3]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27,6 [21,3; 34,9]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1,1 [0,7; 1,3]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−26,5 [−34,0; −20,3]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Panel B. Parámetros del modelo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Mujer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 [1,08; 1,65]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1,44 [0,99; 2,10]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Palabras, log estandarizado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2,61 [2,27; 3,00]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2,41 [1,90; 3,07]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actor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0,33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0,50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concepto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0,66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2,17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concepto × bloque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1,37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Observaciones (intervención × concepto)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4.212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4.212</w:t>
            </w:r>
          </w:p>
        </w:tc>
      </w:tr>
      <w:tr>
        <w:trPr>
          <w:cantSplit/>
          <w:trHeight w:val="524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Actores</w:t>
            </w:r>
          </w:p>
        </w:tc>
        <w:tc>
          <w:tcPr>
            <w:gridSpan w:val="3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</w:t>
            </w:r>
          </w:p>
        </w:tc>
        <w:tc>
          <w:tcPr>
            <w:gridSpan w:val="3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Panel A: probabilidad predicha (%) de que una intervención sustantiva apoye o rechace cada concepto e intervalos de confianza del 95 % entre corchetes, obtenidos con 1.000 remuestreos de actores dentro de cada bloque; la diferencia corresponde a derecha menos izquierda, en puntos porcentuales (pp). Panel B: razones de probabilidades (OR) con intervalos de confianza del 95 % de Wald (referencia: hombre) y desviaciones estándar (DE), en escala logit, de los interceptos aleatorios. Ambos modelos incluyen además el bloque como efecto fijo.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2026-10-21T15:49:17Z</dcterms:modified>
  <cp:category/>
</cp:coreProperties>
</file>