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5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Composición y estabilidad de las comunidades detectadas,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1"/>
        <w:gridCol w:w="620"/>
        <w:gridCol w:w="758"/>
        <w:gridCol w:w="577"/>
        <w:gridCol w:w="663"/>
        <w:gridCol w:w="986"/>
        <w:gridCol w:w="999"/>
        <w:gridCol w:w="9136"/>
      </w:tblGrid>
      <w:tr>
        <w:trPr>
          <w:cantSplit/>
          <w:trHeight w:val="563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Comunidad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Actores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Centro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partidista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Coasignación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Partidos principales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Comunidad 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Partido Unión Demócrata Independiente (23); Partido Renovación Nacional (22); Partido Republicano De Chile (14); Partido Social Cristiano (8)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Comunidad 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Partido Socialista de Chile (19); Partido Comunista de Chile (16); Partido Por la Democracia (13); Partido Frente Amplio (9)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Partición de mayor modularidad entre 50 ejecuciones de signed spin-glass. Coasignación: proporción media de ejecuciones en que dos actores de la comunidad quedan juntos. Entre paréntesis, número de actores de cada partido.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2026-10-21T19:48:52Z</dcterms:modified>
  <cp:category/>
</cp:coreProperties>
</file>