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Tabla 5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2"/>
          <w:szCs w:val="22"/>
          <w:color w:val="000000"/>
        </w:rPr>
        <w:t xml:space="preserve">Composición y estabilidad de las comunidades detectadas, Ley N.º 21.735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90"/>
        <w:gridCol w:w="613"/>
        <w:gridCol w:w="750"/>
        <w:gridCol w:w="571"/>
        <w:gridCol w:w="656"/>
        <w:gridCol w:w="976"/>
        <w:gridCol w:w="988"/>
        <w:gridCol w:w="9044"/>
      </w:tblGrid>
      <w:tr>
        <w:trPr>
          <w:cantSplit/>
          <w:trHeight w:val="563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Coalición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Actores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Izquierda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Centro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Derecha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partidista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Coasignación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Partidos principales</w:t>
            </w:r>
          </w:p>
        </w:tc>
      </w:tr>
      <w:tr>
        <w:trPr>
          <w:cantSplit/>
          <w:trHeight w:val="52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Preservación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0,98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Partido Unión Demócrata Independiente (23); Partido Renovación Nacional (22); Partido Republicano De Chile (14); Partido Social Cristiano (8)</w:t>
            </w:r>
          </w:p>
        </w:tc>
      </w:tr>
      <w:tr>
        <w:trPr>
          <w:cantSplit/>
          <w:trHeight w:val="548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Transformación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78 %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13 %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6 %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3 %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Partido Socialista de Chile (19); Partido Comunista de Chile (16); Partido Por la Democracia (13); Partido Frente Amplio (9)</w:t>
            </w:r>
          </w:p>
        </w:tc>
      </w:tr>
      <w:tr>
        <w:trPr>
          <w:cantSplit/>
          <w:trHeight w:val="360" w:hRule="auto"/>
        </w:trPr>
        <w:tc>
          <w:tcPr>
            <w:gridSpan w:val="8"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Nota.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Partición de mayor modularidad entre 50 ejecuciones de signed spin-glass. Coasignación: proporción media de ejecuciones en que dos actores de la comunidad quedan juntos. Entre paréntesis, número de actores de cada partido.</w:t>
            </w:r>
          </w:p>
        </w:tc>
      </w:tr>
    </w:tbl>
    <w:sectPr>
      <w:pgMar w:header="708" w:bottom="648" w:top="648" w:right="1008" w:left="1008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2026-10-26T17:16:16Z</dcterms:modified>
  <cp:category/>
</cp:coreProperties>
</file>