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Tabla 3</w:t>
      </w:r>
    </w:p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2"/>
          <w:szCs w:val="22"/>
          <w:color w:val="000000"/>
        </w:rPr>
        <w:t xml:space="preserve">Concordancia entre la referencia humana y los modelos por concepto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56"/>
        <w:gridCol w:w="380"/>
        <w:gridCol w:w="1028"/>
        <w:gridCol w:w="1310"/>
        <w:gridCol w:w="545"/>
        <w:gridCol w:w="1633"/>
        <w:gridCol w:w="3136"/>
        <w:gridCol w:w="1523"/>
      </w:tblGrid>
      <w:tr>
        <w:trPr>
          <w:cantSplit/>
          <w:trHeight w:val="548" w:hRule="auto"/>
          <w:tblHeader/>
        </w:trPr>
        <w:tc>
          <w:tcPr>
            <w:gridSpan w:val="2"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Referencia humana y GPT-6 Luna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Referencia humana y Haiku 5.5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Entre modelos</w:t>
            </w:r>
          </w:p>
        </w:tc>
      </w:tr>
      <w:tr>
        <w:trPr>
          <w:cantSplit/>
          <w:trHeight w:val="543" w:hRule="auto"/>
          <w:tblHeader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Concepto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Precisión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Sensibilidad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α [IC 95 %]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α [IC 95 %]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α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Previsión como mercado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0,81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0,71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0,75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0,70 [0,60; 0,80]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0,76 [0,67; 0,84]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0,80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Necesidad material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0,66 [0,55; 0,76]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0,55 [0,43; 0,66]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0,85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Acuerdos y moderación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0,74 [0,62; 0,84]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0,73 [0,62; 0,83]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0,81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Capitalización individual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0,72 [0,58; 0,83]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0,69 [0,56; 0,80]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0,64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Reciprocidad contributiva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0,69 [0,55; 0,81]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0,73 [0,60; 0,84]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0,86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Igualdad y universalismo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0,54 [0,38; 0,67]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0,70 [0,56; 0,82]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0,76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Ineficiencia y riesgo estatal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0,70 [0,54; 0,83]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0,73 [0,59; 0,85]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0,85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Propiedad de los fondos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0,82 [0,70; 0,91]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0,80 [0,68; 0,89]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0,86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Solidaridad colectiva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0,58 [0,38; 0,74]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0,64 [0,46; 0,79]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0,74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Conciencia de costos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0,64 [0,46; 0,79]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0,52 [0,35; 0,68]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0,78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Origen dictatorial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0,88 [0,75; 0,97]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0,90 [0,79; 0,98]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0,92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Libertad de elección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0,79 [0,63; 0,92]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0,78 [0,61; 0,90]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0,93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Identidad*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0,48 [0,27; 0,66]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0,49 [0,26; 0,68]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0,70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 individual*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0,44 [0,17; 0,66]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0,48 [0,19; 0,71]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0,91</w:t>
            </w:r>
          </w:p>
        </w:tc>
      </w:tr>
      <w:tr>
        <w:trPr>
          <w:cantSplit/>
          <w:trHeight w:val="548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Solidaridad intergeneracional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0,53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0,75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0,62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0,61 [0,36; 0,80]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0,61 [0,36; 0,80]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0,82</w:t>
            </w:r>
          </w:p>
        </w:tc>
      </w:tr>
      <w:tr>
        <w:trPr>
          <w:cantSplit/>
          <w:trHeight w:val="360" w:hRule="auto"/>
        </w:trPr>
        <w:tc>
          <w:tcPr>
            <w:gridSpan w:val="8"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Nota.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n: fragmentos con el concepto en la referencia humana, de 359 evaluados. La precisión, la sensibilidad y el F1 comparan las asignaciones de GPT-6 Luna con la referencia humana; no se calculan para Claude Haiku 5.5. α: alfa de Krippendorff, con intervalos de confianza del 95 % entre corchetes (10.000 remuestreos de fragmentos). * Concepto excluido de los análisis, porque todo su intervalo con GPT-6 Luna queda bajo 0,667. Actitud no aparece porque la referencia humana no lo asigna.</w:t>
            </w:r>
          </w:p>
        </w:tc>
      </w:tr>
    </w:tbl>
    <w:sectPr>
      <w:pgMar w:header="708" w:bottom="648" w:top="648" w:right="1008" w:left="1008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ismaelaguayob</cp:lastModifiedBy>
  <cp:revision>9</cp:revision>
  <dcterms:created xsi:type="dcterms:W3CDTF">2017-02-28T11:18:00Z</dcterms:created>
  <dcterms:modified xsi:type="dcterms:W3CDTF">2026-10-26T19:05:06Z</dcterms:modified>
  <cp:category/>
</cp:coreProperties>
</file>