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1</w:t>
      </w:r>
    </w:p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4"/>
          <w:szCs w:val="24"/>
          <w:color w:val="000000"/>
        </w:rPr>
        <w:t xml:space="preserve">Intervenciones incluidas y descartadas por ley y trámite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56"/>
        <w:gridCol w:w="1728"/>
        <w:gridCol w:w="1080"/>
        <w:gridCol w:w="2232"/>
        <w:gridCol w:w="2232"/>
      </w:tblGrid>
      <w:tr>
        <w:trPr>
          <w:cantSplit/>
          <w:trHeight w:val="587" w:hRule="auto"/>
          <w:tblHeader/>
        </w:trPr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Ley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Trámite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Descartadas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Sustantivas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Ley 21.419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Primero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Ley 21.419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Segundo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55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Ley 21.419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Tercero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Ley 21.538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Primero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Ley 21.538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Segundo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Ley 21.735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Primero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126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Ley 21.735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Segundo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</w:t>
            </w:r>
          </w:p>
        </w:tc>
      </w:tr>
      <w:tr>
        <w:trPr>
          <w:cantSplit/>
          <w:trHeight w:val="572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Ley 21.735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Tercero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139</w:t>
            </w:r>
          </w:p>
        </w:tc>
      </w:tr>
      <w:tr>
        <w:trPr>
          <w:cantSplit/>
          <w:trHeight w:val="360" w:hRule="auto"/>
        </w:trPr>
        <w:tc>
          <w:tcPr>
            <w:gridSpan w:val="5"/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Nota. Se descartan las intervenciones compuestas solo por bloques de votación o procedimiento, o ambos. Sustantivas = intervenciones con al menos un bloque sustantivo.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ismaelaguayob</cp:lastModifiedBy>
  <cp:revision>9</cp:revision>
  <dcterms:created xsi:type="dcterms:W3CDTF">2017-02-28T11:18:00Z</dcterms:created>
  <dcterms:modified xsi:type="dcterms:W3CDTF">2026-09-22T23:28:20Z</dcterms:modified>
  <cp:category/>
</cp:coreProperties>
</file>