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2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Posturas sobre cada concepto por ley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64"/>
        <w:gridCol w:w="3168"/>
        <w:gridCol w:w="3168"/>
        <w:gridCol w:w="3168"/>
      </w:tblGrid>
      <w:tr>
        <w:trPr>
          <w:cantSplit/>
          <w:trHeight w:val="74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 21.538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+ 3 (27.3%)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− 8 (72.7%)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+ 41 (51.2%)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− 39 (48.8%)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Propiedad de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+ 3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+ 78 (90.7%)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− 8 (9.3%)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+ 20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+ 11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+ 97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Control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 (50.0%)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 (33.3%)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− 4 (66.7%)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Actitud del beneficiario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+ 0 (0.0%)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(100.0%)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Identidad grupal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+ 8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+ 10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+ 50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+ 57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+ 25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+ 129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+ 36 (94.7%)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− 2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+ 27 (96.4%)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+ 82 (98.8%)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(1.2%)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+ 14 (43.8%)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− 18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+ 3 (50.0%)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− 3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+ 52 (66.7%)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− 26 (33.3%)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+ 14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+ 22 (88.0%)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− 3 (12.0%)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+ 16 (55.2%)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− 13 (44.8%)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+ 2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+ 40 (95.2%)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− 2 (4.8%)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+ 45 (57.7%)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− 33 (42.3%)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+ 13 (65.0%)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− 7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+ 3 (37.5%)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− 5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+ 82 (48.5%)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− 87 (51.5%)</w:t>
            </w:r>
          </w:p>
        </w:tc>
      </w:tr>
      <w:tr>
        <w:trPr>
          <w:cantSplit/>
          <w:trHeight w:val="10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 (50.0%)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+ 1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+ 45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</w:tr>
      <w:tr>
        <w:trPr>
          <w:cantSplit/>
          <w:trHeight w:val="102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Acuerdos y moderación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+ 26 (96.3%)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 (3.7%)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+ 6 (100.0%)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− 0 (0.0%)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+ 103 (88.8%)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− 13 (11.2%)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 + = apoyo; − = oposición; % = N/(N+ + N−). Negrita = tres N mayores por postura y ley, con empates.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2026-09-22T23:28:21Z</dcterms:modified>
  <cp:category/>
</cp:coreProperties>
</file>