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175D8" w14:textId="77777777" w:rsidR="00AD3720" w:rsidRDefault="00000000">
      <w:pPr>
        <w:spacing w:after="280"/>
        <w:jc w:val="center"/>
      </w:pPr>
      <w:r>
        <w:rPr>
          <w:rFonts w:ascii="Noto Sans" w:hAnsi="Noto Sans"/>
          <w:b/>
          <w:color w:val="315C5B"/>
          <w:sz w:val="20"/>
        </w:rPr>
        <w:t>ARTÍCULO PARA BLOG</w:t>
      </w:r>
    </w:p>
    <w:p w14:paraId="2502A6CD" w14:textId="77777777" w:rsidR="00AD3720" w:rsidRDefault="00000000">
      <w:pPr>
        <w:spacing w:after="160"/>
        <w:jc w:val="center"/>
      </w:pPr>
      <w:r>
        <w:rPr>
          <w:rFonts w:ascii="Noto Sans" w:hAnsi="Noto Sans"/>
          <w:b/>
          <w:color w:val="17365D"/>
          <w:sz w:val="54"/>
        </w:rPr>
        <w:t>Neurociencia y vínculo</w:t>
      </w:r>
    </w:p>
    <w:p w14:paraId="71C5DD50" w14:textId="77777777" w:rsidR="00AD3720" w:rsidRDefault="00000000">
      <w:pPr>
        <w:spacing w:after="360"/>
        <w:jc w:val="center"/>
      </w:pPr>
      <w:r>
        <w:rPr>
          <w:i/>
          <w:color w:val="4F81BD"/>
          <w:sz w:val="28"/>
        </w:rPr>
        <w:t>Una mirada conjunta desde la teoría polivagal y el apego</w:t>
      </w:r>
    </w:p>
    <w:tbl>
      <w:tblPr>
        <w:tblW w:w="0" w:type="auto"/>
        <w:jc w:val="center"/>
        <w:tblLayout w:type="fixed"/>
        <w:tblLook w:val="04A0" w:firstRow="1" w:lastRow="0" w:firstColumn="1" w:lastColumn="0" w:noHBand="0" w:noVBand="1"/>
      </w:tblPr>
      <w:tblGrid>
        <w:gridCol w:w="3293"/>
        <w:gridCol w:w="3293"/>
        <w:gridCol w:w="3293"/>
      </w:tblGrid>
      <w:tr w:rsidR="00AD3720" w14:paraId="48FEF940" w14:textId="77777777">
        <w:trPr>
          <w:jc w:val="center"/>
        </w:trPr>
        <w:tc>
          <w:tcPr>
            <w:tcW w:w="3293" w:type="dxa"/>
            <w:shd w:val="clear" w:color="auto" w:fill="FFFFFF"/>
            <w:tcMar>
              <w:top w:w="0" w:type="dxa"/>
              <w:left w:w="0" w:type="dxa"/>
              <w:bottom w:w="0" w:type="dxa"/>
              <w:right w:w="0" w:type="dxa"/>
            </w:tcMar>
          </w:tcPr>
          <w:p w14:paraId="4EC833E8" w14:textId="77777777" w:rsidR="00AD3720" w:rsidRDefault="00AD3720"/>
        </w:tc>
        <w:tc>
          <w:tcPr>
            <w:tcW w:w="3293" w:type="dxa"/>
            <w:shd w:val="clear" w:color="auto" w:fill="C79A6B"/>
            <w:tcMar>
              <w:top w:w="0" w:type="dxa"/>
              <w:left w:w="0" w:type="dxa"/>
              <w:bottom w:w="0" w:type="dxa"/>
              <w:right w:w="0" w:type="dxa"/>
            </w:tcMar>
          </w:tcPr>
          <w:p w14:paraId="717C300F" w14:textId="77777777" w:rsidR="00AD3720" w:rsidRDefault="00AD3720"/>
        </w:tc>
        <w:tc>
          <w:tcPr>
            <w:tcW w:w="3293" w:type="dxa"/>
            <w:shd w:val="clear" w:color="auto" w:fill="FFFFFF"/>
            <w:tcMar>
              <w:top w:w="0" w:type="dxa"/>
              <w:left w:w="0" w:type="dxa"/>
              <w:bottom w:w="0" w:type="dxa"/>
              <w:right w:w="0" w:type="dxa"/>
            </w:tcMar>
          </w:tcPr>
          <w:p w14:paraId="444C950D" w14:textId="77777777" w:rsidR="00AD3720" w:rsidRDefault="00AD3720"/>
        </w:tc>
      </w:tr>
    </w:tbl>
    <w:p w14:paraId="78ACEACE" w14:textId="7AE776D5" w:rsidR="00AD3720" w:rsidRDefault="00AD3720">
      <w:pPr>
        <w:spacing w:before="400" w:after="200"/>
        <w:jc w:val="center"/>
      </w:pPr>
    </w:p>
    <w:p w14:paraId="1CB8E9E2" w14:textId="77777777" w:rsidR="00AD3720" w:rsidRDefault="00000000">
      <w:pPr>
        <w:spacing w:after="20"/>
        <w:jc w:val="center"/>
      </w:pPr>
      <w:r>
        <w:rPr>
          <w:rFonts w:ascii="Noto Sans" w:hAnsi="Noto Sans"/>
          <w:b/>
          <w:color w:val="5B2D43"/>
          <w:sz w:val="25"/>
        </w:rPr>
        <w:t>Nancy Farah Escalante Ruíz</w:t>
      </w:r>
    </w:p>
    <w:p w14:paraId="7CF13F1E" w14:textId="77777777" w:rsidR="00AD3720" w:rsidRDefault="00000000">
      <w:pPr>
        <w:spacing w:after="20"/>
        <w:jc w:val="center"/>
      </w:pPr>
      <w:r>
        <w:rPr>
          <w:color w:val="6A6A6A"/>
        </w:rPr>
        <w:t>Psicóloga clínica, psicoterapeuta y consultora familiar</w:t>
      </w:r>
    </w:p>
    <w:p w14:paraId="4E0F4EB2" w14:textId="77777777" w:rsidR="00AD3720" w:rsidRDefault="00000000">
      <w:pPr>
        <w:spacing w:after="360"/>
        <w:jc w:val="center"/>
      </w:pPr>
      <w:r>
        <w:rPr>
          <w:rFonts w:ascii="Noto Sans" w:hAnsi="Noto Sans"/>
          <w:color w:val="6A6A6A"/>
          <w:sz w:val="18"/>
        </w:rPr>
        <w:t>Versión editorial · septiembre de 2026</w:t>
      </w:r>
    </w:p>
    <w:tbl>
      <w:tblPr>
        <w:tblW w:w="0" w:type="auto"/>
        <w:jc w:val="center"/>
        <w:tblLayout w:type="fixed"/>
        <w:tblLook w:val="04A0" w:firstRow="1" w:lastRow="0" w:firstColumn="1" w:lastColumn="0" w:noHBand="0" w:noVBand="1"/>
      </w:tblPr>
      <w:tblGrid>
        <w:gridCol w:w="9878"/>
      </w:tblGrid>
      <w:tr w:rsidR="00AD3720" w14:paraId="1E575198" w14:textId="77777777">
        <w:trPr>
          <w:cantSplit/>
          <w:jc w:val="center"/>
        </w:trPr>
        <w:tc>
          <w:tcPr>
            <w:tcW w:w="9878" w:type="dxa"/>
            <w:tcBorders>
              <w:top w:val="nil"/>
              <w:left w:val="single" w:sz="18" w:space="0" w:color="4F81BD"/>
              <w:bottom w:val="nil"/>
              <w:right w:val="nil"/>
            </w:tcBorders>
            <w:shd w:val="clear" w:color="auto" w:fill="EEF3F8"/>
            <w:tcMar>
              <w:top w:w="180" w:type="dxa"/>
              <w:left w:w="220" w:type="dxa"/>
              <w:bottom w:w="180" w:type="dxa"/>
              <w:right w:w="220" w:type="dxa"/>
            </w:tcMar>
          </w:tcPr>
          <w:p w14:paraId="3C4AD29D" w14:textId="77777777" w:rsidR="00AD3720" w:rsidRDefault="00000000">
            <w:pPr>
              <w:spacing w:after="80"/>
            </w:pPr>
            <w:r>
              <w:rPr>
                <w:rFonts w:ascii="Noto Sans" w:eastAsia="Noto Sans" w:hAnsi="Noto Sans"/>
                <w:b/>
                <w:color w:val="4F81BD"/>
              </w:rPr>
              <w:t>Una lectura clínica y relacional</w:t>
            </w:r>
          </w:p>
          <w:p w14:paraId="1D7EA39C" w14:textId="77777777" w:rsidR="00AD3720" w:rsidRDefault="00000000">
            <w:pPr>
              <w:spacing w:after="0" w:line="264" w:lineRule="auto"/>
            </w:pPr>
            <w:r>
              <w:t>Este artículo integra el lenguaje de la teoría polivagal y la teoría del apego para comprender la regulación emocional, las respuestas de supervivencia y la función reparadora de un vínculo terapéutico seguro.</w:t>
            </w:r>
          </w:p>
        </w:tc>
      </w:tr>
    </w:tbl>
    <w:p w14:paraId="16E1F75B" w14:textId="77777777" w:rsidR="00AD3720" w:rsidRDefault="00AD3720">
      <w:pPr>
        <w:spacing w:after="0"/>
      </w:pPr>
    </w:p>
    <w:p w14:paraId="75DB2E4E" w14:textId="77777777" w:rsidR="00AD3720" w:rsidRDefault="00000000">
      <w:r>
        <w:br w:type="page"/>
      </w:r>
    </w:p>
    <w:p w14:paraId="748C54C7" w14:textId="77777777" w:rsidR="00AD3720" w:rsidRDefault="00000000">
      <w:pPr>
        <w:spacing w:after="40"/>
      </w:pPr>
      <w:r>
        <w:rPr>
          <w:rFonts w:ascii="Noto Sans" w:hAnsi="Noto Sans"/>
          <w:b/>
          <w:color w:val="5B2D43"/>
          <w:sz w:val="40"/>
        </w:rPr>
        <w:lastRenderedPageBreak/>
        <w:t>FICHA EDITORIAL Y SEO</w:t>
      </w:r>
    </w:p>
    <w:p w14:paraId="469D4C74" w14:textId="77777777" w:rsidR="00AD3720" w:rsidRDefault="00000000">
      <w:pPr>
        <w:spacing w:after="240"/>
      </w:pPr>
      <w:r>
        <w:rPr>
          <w:i/>
          <w:color w:val="4F81BD"/>
          <w:sz w:val="23"/>
        </w:rPr>
        <w:t>Preparación para página web</w:t>
      </w:r>
    </w:p>
    <w:tbl>
      <w:tblPr>
        <w:tblW w:w="0" w:type="auto"/>
        <w:jc w:val="center"/>
        <w:tblLayout w:type="fixed"/>
        <w:tblLook w:val="04A0" w:firstRow="1" w:lastRow="0" w:firstColumn="1" w:lastColumn="0" w:noHBand="0" w:noVBand="1"/>
      </w:tblPr>
      <w:tblGrid>
        <w:gridCol w:w="4939"/>
        <w:gridCol w:w="4939"/>
      </w:tblGrid>
      <w:tr w:rsidR="00AD3720" w14:paraId="15D492CE" w14:textId="77777777">
        <w:trPr>
          <w:jc w:val="center"/>
        </w:trPr>
        <w:tc>
          <w:tcPr>
            <w:tcW w:w="4939" w:type="dxa"/>
            <w:tcBorders>
              <w:top w:val="single" w:sz="4" w:space="0" w:color="D7DDDD"/>
              <w:left w:val="single" w:sz="4" w:space="0" w:color="D7DDDD"/>
              <w:bottom w:val="single" w:sz="4" w:space="0" w:color="D7DDDD"/>
              <w:right w:val="single" w:sz="4" w:space="0" w:color="D7DDDD"/>
            </w:tcBorders>
            <w:shd w:val="clear" w:color="auto" w:fill="EEF5F4"/>
            <w:tcMar>
              <w:top w:w="120" w:type="dxa"/>
              <w:left w:w="150" w:type="dxa"/>
              <w:bottom w:w="120" w:type="dxa"/>
              <w:right w:w="150" w:type="dxa"/>
            </w:tcMar>
          </w:tcPr>
          <w:p w14:paraId="1B8AE937" w14:textId="77777777" w:rsidR="00AD3720" w:rsidRDefault="00000000">
            <w:pPr>
              <w:spacing w:after="0"/>
            </w:pPr>
            <w:r>
              <w:rPr>
                <w:rFonts w:ascii="Noto Sans" w:eastAsia="Noto Sans" w:hAnsi="Noto Sans"/>
                <w:b/>
                <w:color w:val="315C5B"/>
                <w:sz w:val="19"/>
              </w:rPr>
              <w:t>Título SEO</w:t>
            </w:r>
          </w:p>
        </w:tc>
        <w:tc>
          <w:tcPr>
            <w:tcW w:w="4939" w:type="dxa"/>
            <w:tcBorders>
              <w:top w:val="single" w:sz="4" w:space="0" w:color="D7DDDD"/>
              <w:left w:val="single" w:sz="4" w:space="0" w:color="D7DDDD"/>
              <w:bottom w:val="single" w:sz="4" w:space="0" w:color="D7DDDD"/>
              <w:right w:val="single" w:sz="4" w:space="0" w:color="D7DDDD"/>
            </w:tcBorders>
            <w:shd w:val="clear" w:color="auto" w:fill="FFFFFF"/>
            <w:tcMar>
              <w:top w:w="120" w:type="dxa"/>
              <w:left w:w="150" w:type="dxa"/>
              <w:bottom w:w="120" w:type="dxa"/>
              <w:right w:w="150" w:type="dxa"/>
            </w:tcMar>
          </w:tcPr>
          <w:p w14:paraId="3B21AC1C" w14:textId="77777777" w:rsidR="00AD3720" w:rsidRDefault="00000000">
            <w:pPr>
              <w:spacing w:after="0"/>
            </w:pPr>
            <w:r>
              <w:rPr>
                <w:sz w:val="19"/>
              </w:rPr>
              <w:t>Teoría polivagal y apego: regulación emocional y vínculo</w:t>
            </w:r>
          </w:p>
        </w:tc>
      </w:tr>
      <w:tr w:rsidR="00AD3720" w14:paraId="66FC58DB" w14:textId="77777777">
        <w:trPr>
          <w:jc w:val="center"/>
        </w:trPr>
        <w:tc>
          <w:tcPr>
            <w:tcW w:w="4939" w:type="dxa"/>
            <w:tcBorders>
              <w:top w:val="single" w:sz="4" w:space="0" w:color="D7DDDD"/>
              <w:left w:val="single" w:sz="4" w:space="0" w:color="D7DDDD"/>
              <w:bottom w:val="single" w:sz="4" w:space="0" w:color="D7DDDD"/>
              <w:right w:val="single" w:sz="4" w:space="0" w:color="D7DDDD"/>
            </w:tcBorders>
            <w:shd w:val="clear" w:color="auto" w:fill="F8FAFA"/>
            <w:tcMar>
              <w:top w:w="120" w:type="dxa"/>
              <w:left w:w="150" w:type="dxa"/>
              <w:bottom w:w="120" w:type="dxa"/>
              <w:right w:w="150" w:type="dxa"/>
            </w:tcMar>
          </w:tcPr>
          <w:p w14:paraId="17109A24" w14:textId="77777777" w:rsidR="00AD3720" w:rsidRDefault="00000000">
            <w:pPr>
              <w:spacing w:after="0"/>
            </w:pPr>
            <w:r>
              <w:rPr>
                <w:rFonts w:ascii="Noto Sans" w:eastAsia="Noto Sans" w:hAnsi="Noto Sans"/>
                <w:b/>
                <w:color w:val="315C5B"/>
                <w:sz w:val="19"/>
              </w:rPr>
              <w:t>Slug sugerido</w:t>
            </w:r>
          </w:p>
        </w:tc>
        <w:tc>
          <w:tcPr>
            <w:tcW w:w="4939" w:type="dxa"/>
            <w:tcBorders>
              <w:top w:val="single" w:sz="4" w:space="0" w:color="D7DDDD"/>
              <w:left w:val="single" w:sz="4" w:space="0" w:color="D7DDDD"/>
              <w:bottom w:val="single" w:sz="4" w:space="0" w:color="D7DDDD"/>
              <w:right w:val="single" w:sz="4" w:space="0" w:color="D7DDDD"/>
            </w:tcBorders>
            <w:shd w:val="clear" w:color="auto" w:fill="FBFCFC"/>
            <w:tcMar>
              <w:top w:w="120" w:type="dxa"/>
              <w:left w:w="150" w:type="dxa"/>
              <w:bottom w:w="120" w:type="dxa"/>
              <w:right w:w="150" w:type="dxa"/>
            </w:tcMar>
          </w:tcPr>
          <w:p w14:paraId="72F61E7B" w14:textId="77777777" w:rsidR="00AD3720" w:rsidRDefault="00000000">
            <w:pPr>
              <w:spacing w:after="0"/>
            </w:pPr>
            <w:r>
              <w:rPr>
                <w:sz w:val="19"/>
              </w:rPr>
              <w:t>/teoria-polivagal-apego-regulacion-emocional-vinculo</w:t>
            </w:r>
          </w:p>
        </w:tc>
      </w:tr>
      <w:tr w:rsidR="00AD3720" w14:paraId="4551D6C8" w14:textId="77777777">
        <w:trPr>
          <w:jc w:val="center"/>
        </w:trPr>
        <w:tc>
          <w:tcPr>
            <w:tcW w:w="4939" w:type="dxa"/>
            <w:tcBorders>
              <w:top w:val="single" w:sz="4" w:space="0" w:color="D7DDDD"/>
              <w:left w:val="single" w:sz="4" w:space="0" w:color="D7DDDD"/>
              <w:bottom w:val="single" w:sz="4" w:space="0" w:color="D7DDDD"/>
              <w:right w:val="single" w:sz="4" w:space="0" w:color="D7DDDD"/>
            </w:tcBorders>
            <w:shd w:val="clear" w:color="auto" w:fill="EEF5F4"/>
            <w:tcMar>
              <w:top w:w="120" w:type="dxa"/>
              <w:left w:w="150" w:type="dxa"/>
              <w:bottom w:w="120" w:type="dxa"/>
              <w:right w:w="150" w:type="dxa"/>
            </w:tcMar>
          </w:tcPr>
          <w:p w14:paraId="79E9B347" w14:textId="77777777" w:rsidR="00AD3720" w:rsidRDefault="00000000">
            <w:pPr>
              <w:spacing w:after="0"/>
            </w:pPr>
            <w:r>
              <w:rPr>
                <w:rFonts w:ascii="Noto Sans" w:eastAsia="Noto Sans" w:hAnsi="Noto Sans"/>
                <w:b/>
                <w:color w:val="315C5B"/>
                <w:sz w:val="19"/>
              </w:rPr>
              <w:t>Metadescripción</w:t>
            </w:r>
          </w:p>
        </w:tc>
        <w:tc>
          <w:tcPr>
            <w:tcW w:w="4939" w:type="dxa"/>
            <w:tcBorders>
              <w:top w:val="single" w:sz="4" w:space="0" w:color="D7DDDD"/>
              <w:left w:val="single" w:sz="4" w:space="0" w:color="D7DDDD"/>
              <w:bottom w:val="single" w:sz="4" w:space="0" w:color="D7DDDD"/>
              <w:right w:val="single" w:sz="4" w:space="0" w:color="D7DDDD"/>
            </w:tcBorders>
            <w:shd w:val="clear" w:color="auto" w:fill="FFFFFF"/>
            <w:tcMar>
              <w:top w:w="120" w:type="dxa"/>
              <w:left w:w="150" w:type="dxa"/>
              <w:bottom w:w="120" w:type="dxa"/>
              <w:right w:w="150" w:type="dxa"/>
            </w:tcMar>
          </w:tcPr>
          <w:p w14:paraId="158FB650" w14:textId="77777777" w:rsidR="00AD3720" w:rsidRDefault="00000000">
            <w:pPr>
              <w:spacing w:after="0"/>
            </w:pPr>
            <w:r>
              <w:rPr>
                <w:sz w:val="19"/>
              </w:rPr>
              <w:t>Cómo la teoría polivagal y el apego ayudan a comprender la hiperactivación, la desconexión, la co-regulación y la reparación en psicoterapia.</w:t>
            </w:r>
          </w:p>
        </w:tc>
      </w:tr>
      <w:tr w:rsidR="00AD3720" w14:paraId="38AA8AAD" w14:textId="77777777">
        <w:trPr>
          <w:jc w:val="center"/>
        </w:trPr>
        <w:tc>
          <w:tcPr>
            <w:tcW w:w="4939" w:type="dxa"/>
            <w:tcBorders>
              <w:top w:val="single" w:sz="4" w:space="0" w:color="D7DDDD"/>
              <w:left w:val="single" w:sz="4" w:space="0" w:color="D7DDDD"/>
              <w:bottom w:val="single" w:sz="4" w:space="0" w:color="D7DDDD"/>
              <w:right w:val="single" w:sz="4" w:space="0" w:color="D7DDDD"/>
            </w:tcBorders>
            <w:shd w:val="clear" w:color="auto" w:fill="F8FAFA"/>
            <w:tcMar>
              <w:top w:w="120" w:type="dxa"/>
              <w:left w:w="150" w:type="dxa"/>
              <w:bottom w:w="120" w:type="dxa"/>
              <w:right w:w="150" w:type="dxa"/>
            </w:tcMar>
          </w:tcPr>
          <w:p w14:paraId="6FA98794" w14:textId="77777777" w:rsidR="00AD3720" w:rsidRDefault="00000000">
            <w:pPr>
              <w:spacing w:after="0"/>
            </w:pPr>
            <w:r>
              <w:rPr>
                <w:rFonts w:ascii="Noto Sans" w:eastAsia="Noto Sans" w:hAnsi="Noto Sans"/>
                <w:b/>
                <w:color w:val="315C5B"/>
                <w:sz w:val="19"/>
              </w:rPr>
              <w:t>Palabra clave principal</w:t>
            </w:r>
          </w:p>
        </w:tc>
        <w:tc>
          <w:tcPr>
            <w:tcW w:w="4939" w:type="dxa"/>
            <w:tcBorders>
              <w:top w:val="single" w:sz="4" w:space="0" w:color="D7DDDD"/>
              <w:left w:val="single" w:sz="4" w:space="0" w:color="D7DDDD"/>
              <w:bottom w:val="single" w:sz="4" w:space="0" w:color="D7DDDD"/>
              <w:right w:val="single" w:sz="4" w:space="0" w:color="D7DDDD"/>
            </w:tcBorders>
            <w:shd w:val="clear" w:color="auto" w:fill="FBFCFC"/>
            <w:tcMar>
              <w:top w:w="120" w:type="dxa"/>
              <w:left w:w="150" w:type="dxa"/>
              <w:bottom w:w="120" w:type="dxa"/>
              <w:right w:w="150" w:type="dxa"/>
            </w:tcMar>
          </w:tcPr>
          <w:p w14:paraId="55C31933" w14:textId="77777777" w:rsidR="00AD3720" w:rsidRDefault="00000000">
            <w:pPr>
              <w:spacing w:after="0"/>
            </w:pPr>
            <w:r>
              <w:rPr>
                <w:sz w:val="19"/>
              </w:rPr>
              <w:t>teoría polivagal y apego</w:t>
            </w:r>
          </w:p>
        </w:tc>
      </w:tr>
      <w:tr w:rsidR="00AD3720" w14:paraId="148934EB" w14:textId="77777777">
        <w:trPr>
          <w:jc w:val="center"/>
        </w:trPr>
        <w:tc>
          <w:tcPr>
            <w:tcW w:w="4939" w:type="dxa"/>
            <w:tcBorders>
              <w:top w:val="single" w:sz="4" w:space="0" w:color="D7DDDD"/>
              <w:left w:val="single" w:sz="4" w:space="0" w:color="D7DDDD"/>
              <w:bottom w:val="single" w:sz="4" w:space="0" w:color="D7DDDD"/>
              <w:right w:val="single" w:sz="4" w:space="0" w:color="D7DDDD"/>
            </w:tcBorders>
            <w:shd w:val="clear" w:color="auto" w:fill="EEF5F4"/>
            <w:tcMar>
              <w:top w:w="120" w:type="dxa"/>
              <w:left w:w="150" w:type="dxa"/>
              <w:bottom w:w="120" w:type="dxa"/>
              <w:right w:w="150" w:type="dxa"/>
            </w:tcMar>
          </w:tcPr>
          <w:p w14:paraId="0196DDD4" w14:textId="77777777" w:rsidR="00AD3720" w:rsidRDefault="00000000">
            <w:pPr>
              <w:spacing w:after="0"/>
            </w:pPr>
            <w:r>
              <w:rPr>
                <w:rFonts w:ascii="Noto Sans" w:eastAsia="Noto Sans" w:hAnsi="Noto Sans"/>
                <w:b/>
                <w:color w:val="315C5B"/>
                <w:sz w:val="19"/>
              </w:rPr>
              <w:t>Palabras clave secundarias</w:t>
            </w:r>
          </w:p>
        </w:tc>
        <w:tc>
          <w:tcPr>
            <w:tcW w:w="4939" w:type="dxa"/>
            <w:tcBorders>
              <w:top w:val="single" w:sz="4" w:space="0" w:color="D7DDDD"/>
              <w:left w:val="single" w:sz="4" w:space="0" w:color="D7DDDD"/>
              <w:bottom w:val="single" w:sz="4" w:space="0" w:color="D7DDDD"/>
              <w:right w:val="single" w:sz="4" w:space="0" w:color="D7DDDD"/>
            </w:tcBorders>
            <w:shd w:val="clear" w:color="auto" w:fill="FFFFFF"/>
            <w:tcMar>
              <w:top w:w="120" w:type="dxa"/>
              <w:left w:w="150" w:type="dxa"/>
              <w:bottom w:w="120" w:type="dxa"/>
              <w:right w:w="150" w:type="dxa"/>
            </w:tcMar>
          </w:tcPr>
          <w:p w14:paraId="13C8AC5D" w14:textId="77777777" w:rsidR="00AD3720" w:rsidRDefault="00000000">
            <w:pPr>
              <w:spacing w:after="0"/>
            </w:pPr>
            <w:r>
              <w:rPr>
                <w:sz w:val="19"/>
              </w:rPr>
              <w:t>regulación emocional, sistema nervioso autónomo, trauma, co-regulación, vínculo terapéutico, psicoterapia</w:t>
            </w:r>
          </w:p>
        </w:tc>
      </w:tr>
      <w:tr w:rsidR="00AD3720" w14:paraId="1DDF38C4" w14:textId="77777777">
        <w:trPr>
          <w:jc w:val="center"/>
        </w:trPr>
        <w:tc>
          <w:tcPr>
            <w:tcW w:w="4939" w:type="dxa"/>
            <w:tcBorders>
              <w:top w:val="single" w:sz="4" w:space="0" w:color="D7DDDD"/>
              <w:left w:val="single" w:sz="4" w:space="0" w:color="D7DDDD"/>
              <w:bottom w:val="single" w:sz="4" w:space="0" w:color="D7DDDD"/>
              <w:right w:val="single" w:sz="4" w:space="0" w:color="D7DDDD"/>
            </w:tcBorders>
            <w:shd w:val="clear" w:color="auto" w:fill="F8FAFA"/>
            <w:tcMar>
              <w:top w:w="120" w:type="dxa"/>
              <w:left w:w="150" w:type="dxa"/>
              <w:bottom w:w="120" w:type="dxa"/>
              <w:right w:w="150" w:type="dxa"/>
            </w:tcMar>
          </w:tcPr>
          <w:p w14:paraId="6EBFE523" w14:textId="77777777" w:rsidR="00AD3720" w:rsidRDefault="00000000">
            <w:pPr>
              <w:spacing w:after="0"/>
            </w:pPr>
            <w:r>
              <w:rPr>
                <w:rFonts w:ascii="Noto Sans" w:eastAsia="Noto Sans" w:hAnsi="Noto Sans"/>
                <w:b/>
                <w:color w:val="315C5B"/>
                <w:sz w:val="19"/>
              </w:rPr>
              <w:t>Categorías</w:t>
            </w:r>
          </w:p>
        </w:tc>
        <w:tc>
          <w:tcPr>
            <w:tcW w:w="4939" w:type="dxa"/>
            <w:tcBorders>
              <w:top w:val="single" w:sz="4" w:space="0" w:color="D7DDDD"/>
              <w:left w:val="single" w:sz="4" w:space="0" w:color="D7DDDD"/>
              <w:bottom w:val="single" w:sz="4" w:space="0" w:color="D7DDDD"/>
              <w:right w:val="single" w:sz="4" w:space="0" w:color="D7DDDD"/>
            </w:tcBorders>
            <w:shd w:val="clear" w:color="auto" w:fill="FBFCFC"/>
            <w:tcMar>
              <w:top w:w="120" w:type="dxa"/>
              <w:left w:w="150" w:type="dxa"/>
              <w:bottom w:w="120" w:type="dxa"/>
              <w:right w:w="150" w:type="dxa"/>
            </w:tcMar>
          </w:tcPr>
          <w:p w14:paraId="52C65607" w14:textId="77777777" w:rsidR="00AD3720" w:rsidRDefault="00000000">
            <w:pPr>
              <w:spacing w:after="0"/>
            </w:pPr>
            <w:r>
              <w:rPr>
                <w:sz w:val="19"/>
              </w:rPr>
              <w:t>Trauma y regulación emocional · Apego · Psicoterapia</w:t>
            </w:r>
          </w:p>
        </w:tc>
      </w:tr>
      <w:tr w:rsidR="00AD3720" w14:paraId="55D0B8AA" w14:textId="77777777">
        <w:trPr>
          <w:jc w:val="center"/>
        </w:trPr>
        <w:tc>
          <w:tcPr>
            <w:tcW w:w="4939" w:type="dxa"/>
            <w:tcBorders>
              <w:top w:val="single" w:sz="4" w:space="0" w:color="D7DDDD"/>
              <w:left w:val="single" w:sz="4" w:space="0" w:color="D7DDDD"/>
              <w:bottom w:val="single" w:sz="4" w:space="0" w:color="D7DDDD"/>
              <w:right w:val="single" w:sz="4" w:space="0" w:color="D7DDDD"/>
            </w:tcBorders>
            <w:shd w:val="clear" w:color="auto" w:fill="EEF5F4"/>
            <w:tcMar>
              <w:top w:w="120" w:type="dxa"/>
              <w:left w:w="150" w:type="dxa"/>
              <w:bottom w:w="120" w:type="dxa"/>
              <w:right w:w="150" w:type="dxa"/>
            </w:tcMar>
          </w:tcPr>
          <w:p w14:paraId="17917219" w14:textId="77777777" w:rsidR="00AD3720" w:rsidRDefault="00000000">
            <w:pPr>
              <w:spacing w:after="0"/>
            </w:pPr>
            <w:r>
              <w:rPr>
                <w:rFonts w:ascii="Noto Sans" w:eastAsia="Noto Sans" w:hAnsi="Noto Sans"/>
                <w:b/>
                <w:color w:val="315C5B"/>
                <w:sz w:val="19"/>
              </w:rPr>
              <w:t>Extracto</w:t>
            </w:r>
          </w:p>
        </w:tc>
        <w:tc>
          <w:tcPr>
            <w:tcW w:w="4939" w:type="dxa"/>
            <w:tcBorders>
              <w:top w:val="single" w:sz="4" w:space="0" w:color="D7DDDD"/>
              <w:left w:val="single" w:sz="4" w:space="0" w:color="D7DDDD"/>
              <w:bottom w:val="single" w:sz="4" w:space="0" w:color="D7DDDD"/>
              <w:right w:val="single" w:sz="4" w:space="0" w:color="D7DDDD"/>
            </w:tcBorders>
            <w:shd w:val="clear" w:color="auto" w:fill="FFFFFF"/>
            <w:tcMar>
              <w:top w:w="120" w:type="dxa"/>
              <w:left w:w="150" w:type="dxa"/>
              <w:bottom w:w="120" w:type="dxa"/>
              <w:right w:w="150" w:type="dxa"/>
            </w:tcMar>
          </w:tcPr>
          <w:p w14:paraId="41D2FA14" w14:textId="77777777" w:rsidR="00AD3720" w:rsidRDefault="00000000">
            <w:pPr>
              <w:spacing w:after="0"/>
            </w:pPr>
            <w:r>
              <w:rPr>
                <w:sz w:val="19"/>
              </w:rPr>
              <w:t>El cuerpo y el vínculo participan de una misma experiencia. Comprender sus respuestas permite dejar de interpretar la hiperactivación o la desconexión como falta de voluntad y comenzar a verlas como estrategias aprendidas de supervivencia.</w:t>
            </w:r>
          </w:p>
        </w:tc>
      </w:tr>
      <w:tr w:rsidR="00AD3720" w14:paraId="29235FD4" w14:textId="77777777">
        <w:trPr>
          <w:jc w:val="center"/>
        </w:trPr>
        <w:tc>
          <w:tcPr>
            <w:tcW w:w="4939" w:type="dxa"/>
            <w:tcBorders>
              <w:top w:val="single" w:sz="4" w:space="0" w:color="D7DDDD"/>
              <w:left w:val="single" w:sz="4" w:space="0" w:color="D7DDDD"/>
              <w:bottom w:val="single" w:sz="4" w:space="0" w:color="D7DDDD"/>
              <w:right w:val="single" w:sz="4" w:space="0" w:color="D7DDDD"/>
            </w:tcBorders>
            <w:shd w:val="clear" w:color="auto" w:fill="F8FAFA"/>
            <w:tcMar>
              <w:top w:w="120" w:type="dxa"/>
              <w:left w:w="150" w:type="dxa"/>
              <w:bottom w:w="120" w:type="dxa"/>
              <w:right w:w="150" w:type="dxa"/>
            </w:tcMar>
          </w:tcPr>
          <w:p w14:paraId="43494513" w14:textId="77777777" w:rsidR="00AD3720" w:rsidRDefault="00000000">
            <w:pPr>
              <w:spacing w:after="0"/>
            </w:pPr>
            <w:r>
              <w:rPr>
                <w:rFonts w:ascii="Noto Sans" w:eastAsia="Noto Sans" w:hAnsi="Noto Sans"/>
                <w:b/>
                <w:color w:val="315C5B"/>
                <w:sz w:val="19"/>
              </w:rPr>
              <w:t>Tiempo estimado de lectura</w:t>
            </w:r>
          </w:p>
        </w:tc>
        <w:tc>
          <w:tcPr>
            <w:tcW w:w="4939" w:type="dxa"/>
            <w:tcBorders>
              <w:top w:val="single" w:sz="4" w:space="0" w:color="D7DDDD"/>
              <w:left w:val="single" w:sz="4" w:space="0" w:color="D7DDDD"/>
              <w:bottom w:val="single" w:sz="4" w:space="0" w:color="D7DDDD"/>
              <w:right w:val="single" w:sz="4" w:space="0" w:color="D7DDDD"/>
            </w:tcBorders>
            <w:shd w:val="clear" w:color="auto" w:fill="FBFCFC"/>
            <w:tcMar>
              <w:top w:w="120" w:type="dxa"/>
              <w:left w:w="150" w:type="dxa"/>
              <w:bottom w:w="120" w:type="dxa"/>
              <w:right w:w="150" w:type="dxa"/>
            </w:tcMar>
          </w:tcPr>
          <w:p w14:paraId="6CEBB248" w14:textId="77777777" w:rsidR="00AD3720" w:rsidRDefault="00000000">
            <w:pPr>
              <w:spacing w:after="0"/>
            </w:pPr>
            <w:r>
              <w:rPr>
                <w:sz w:val="19"/>
              </w:rPr>
              <w:t>8 a 10 minutos</w:t>
            </w:r>
          </w:p>
        </w:tc>
      </w:tr>
      <w:tr w:rsidR="00AD3720" w14:paraId="7532F3BA" w14:textId="77777777">
        <w:trPr>
          <w:jc w:val="center"/>
        </w:trPr>
        <w:tc>
          <w:tcPr>
            <w:tcW w:w="4939" w:type="dxa"/>
            <w:tcBorders>
              <w:top w:val="single" w:sz="4" w:space="0" w:color="D7DDDD"/>
              <w:left w:val="single" w:sz="4" w:space="0" w:color="D7DDDD"/>
              <w:bottom w:val="single" w:sz="4" w:space="0" w:color="D7DDDD"/>
              <w:right w:val="single" w:sz="4" w:space="0" w:color="D7DDDD"/>
            </w:tcBorders>
            <w:shd w:val="clear" w:color="auto" w:fill="EEF5F4"/>
            <w:tcMar>
              <w:top w:w="120" w:type="dxa"/>
              <w:left w:w="150" w:type="dxa"/>
              <w:bottom w:w="120" w:type="dxa"/>
              <w:right w:w="150" w:type="dxa"/>
            </w:tcMar>
          </w:tcPr>
          <w:p w14:paraId="4D20229A" w14:textId="77777777" w:rsidR="00AD3720" w:rsidRDefault="00000000">
            <w:pPr>
              <w:spacing w:after="0"/>
            </w:pPr>
            <w:r>
              <w:rPr>
                <w:rFonts w:ascii="Noto Sans" w:eastAsia="Noto Sans" w:hAnsi="Noto Sans"/>
                <w:b/>
                <w:color w:val="315C5B"/>
                <w:sz w:val="19"/>
              </w:rPr>
              <w:t>Autoría</w:t>
            </w:r>
          </w:p>
        </w:tc>
        <w:tc>
          <w:tcPr>
            <w:tcW w:w="4939" w:type="dxa"/>
            <w:tcBorders>
              <w:top w:val="single" w:sz="4" w:space="0" w:color="D7DDDD"/>
              <w:left w:val="single" w:sz="4" w:space="0" w:color="D7DDDD"/>
              <w:bottom w:val="single" w:sz="4" w:space="0" w:color="D7DDDD"/>
              <w:right w:val="single" w:sz="4" w:space="0" w:color="D7DDDD"/>
            </w:tcBorders>
            <w:shd w:val="clear" w:color="auto" w:fill="FFFFFF"/>
            <w:tcMar>
              <w:top w:w="120" w:type="dxa"/>
              <w:left w:w="150" w:type="dxa"/>
              <w:bottom w:w="120" w:type="dxa"/>
              <w:right w:w="150" w:type="dxa"/>
            </w:tcMar>
          </w:tcPr>
          <w:p w14:paraId="64DC5EEF" w14:textId="77777777" w:rsidR="00AD3720" w:rsidRDefault="00000000">
            <w:pPr>
              <w:spacing w:after="0"/>
            </w:pPr>
            <w:r>
              <w:rPr>
                <w:sz w:val="19"/>
              </w:rPr>
              <w:t>Nancy Farah Escalante Ruíz · Psicóloga clínica, psicoterapeuta y consultora familiar</w:t>
            </w:r>
          </w:p>
        </w:tc>
      </w:tr>
    </w:tbl>
    <w:p w14:paraId="3EBD1EE8" w14:textId="77777777" w:rsidR="00AD3720" w:rsidRDefault="00AD3720">
      <w:pPr>
        <w:spacing w:after="60"/>
      </w:pPr>
    </w:p>
    <w:p w14:paraId="7857792D" w14:textId="77777777" w:rsidR="00AD3720" w:rsidRDefault="00000000">
      <w:pPr>
        <w:pStyle w:val="Ttulo2"/>
      </w:pPr>
      <w:r>
        <w:t>Enfoque editorial</w:t>
      </w:r>
    </w:p>
    <w:p w14:paraId="4ED0BDD1" w14:textId="77777777" w:rsidR="00AD3720" w:rsidRDefault="00000000">
      <w:pPr>
        <w:pStyle w:val="ListBulletCustom"/>
      </w:pPr>
      <w:r>
        <w:t>Conserva el eje original: regulación autonómica, apego y reparación relacional.</w:t>
      </w:r>
    </w:p>
    <w:p w14:paraId="390EC82D" w14:textId="77777777" w:rsidR="00AD3720" w:rsidRDefault="00000000">
      <w:pPr>
        <w:pStyle w:val="ListBulletCustom"/>
      </w:pPr>
      <w:r>
        <w:t>Organiza los conceptos en un lenguaje accesible para pacientes, familias y público general.</w:t>
      </w:r>
    </w:p>
    <w:p w14:paraId="07224A9B" w14:textId="77777777" w:rsidR="00AD3720" w:rsidRDefault="00000000">
      <w:pPr>
        <w:pStyle w:val="ListBulletCustom"/>
      </w:pPr>
      <w:r>
        <w:t>Subraya que la activación y la desconexión pueden cumplir una función adaptativa de supervivencia.</w:t>
      </w:r>
    </w:p>
    <w:p w14:paraId="4994D122" w14:textId="77777777" w:rsidR="00AD3720" w:rsidRDefault="00000000">
      <w:pPr>
        <w:pStyle w:val="ListBulletCustom"/>
      </w:pPr>
      <w:r>
        <w:t>Evita interpretar la respuesta corporal como resistencia o falta de voluntad, e incluye materiales listos para publicación digital.</w:t>
      </w:r>
    </w:p>
    <w:tbl>
      <w:tblPr>
        <w:tblW w:w="0" w:type="auto"/>
        <w:jc w:val="center"/>
        <w:tblLayout w:type="fixed"/>
        <w:tblLook w:val="04A0" w:firstRow="1" w:lastRow="0" w:firstColumn="1" w:lastColumn="0" w:noHBand="0" w:noVBand="1"/>
      </w:tblPr>
      <w:tblGrid>
        <w:gridCol w:w="9878"/>
      </w:tblGrid>
      <w:tr w:rsidR="00AD3720" w14:paraId="7272F63F" w14:textId="77777777">
        <w:trPr>
          <w:cantSplit/>
          <w:jc w:val="center"/>
        </w:trPr>
        <w:tc>
          <w:tcPr>
            <w:tcW w:w="9878" w:type="dxa"/>
            <w:tcBorders>
              <w:top w:val="nil"/>
              <w:left w:val="single" w:sz="18" w:space="0" w:color="5B2D43"/>
              <w:bottom w:val="nil"/>
              <w:right w:val="nil"/>
            </w:tcBorders>
            <w:shd w:val="clear" w:color="auto" w:fill="F7F2F4"/>
            <w:tcMar>
              <w:top w:w="180" w:type="dxa"/>
              <w:left w:w="220" w:type="dxa"/>
              <w:bottom w:w="180" w:type="dxa"/>
              <w:right w:w="220" w:type="dxa"/>
            </w:tcMar>
          </w:tcPr>
          <w:p w14:paraId="6D27E15C" w14:textId="77777777" w:rsidR="00AD3720" w:rsidRDefault="00000000">
            <w:pPr>
              <w:spacing w:after="80"/>
            </w:pPr>
            <w:r>
              <w:rPr>
                <w:rFonts w:ascii="Noto Sans" w:eastAsia="Noto Sans" w:hAnsi="Noto Sans"/>
                <w:b/>
                <w:color w:val="5B2D43"/>
              </w:rPr>
              <w:lastRenderedPageBreak/>
              <w:t>Nota de rigor clínico</w:t>
            </w:r>
          </w:p>
          <w:p w14:paraId="2DFD88B9" w14:textId="77777777" w:rsidR="00AD3720" w:rsidRDefault="00000000">
            <w:pPr>
              <w:spacing w:after="0" w:line="264" w:lineRule="auto"/>
            </w:pPr>
            <w:r>
              <w:t>La teoría polivagal y la teoría del apego son marcos de comprensión clínica. Deben integrarse con la historia individual, la evaluación psicológica y, cuando corresponde, la valoración médica o psiquiátrica.</w:t>
            </w:r>
          </w:p>
        </w:tc>
      </w:tr>
    </w:tbl>
    <w:p w14:paraId="3F5DD54F" w14:textId="77777777" w:rsidR="00AD3720" w:rsidRDefault="00AD3720">
      <w:pPr>
        <w:spacing w:after="0"/>
      </w:pPr>
    </w:p>
    <w:p w14:paraId="0DCD0C4C" w14:textId="77777777" w:rsidR="00AD3720" w:rsidRDefault="00000000">
      <w:r>
        <w:br w:type="page"/>
      </w:r>
    </w:p>
    <w:p w14:paraId="0E5D75DC" w14:textId="77777777" w:rsidR="00AD3720" w:rsidRDefault="00000000">
      <w:pPr>
        <w:spacing w:after="80"/>
      </w:pPr>
      <w:r>
        <w:rPr>
          <w:rFonts w:ascii="Noto Sans" w:hAnsi="Noto Sans"/>
          <w:b/>
          <w:color w:val="315C5B"/>
          <w:sz w:val="19"/>
        </w:rPr>
        <w:lastRenderedPageBreak/>
        <w:t>NEUROCIENCIA, APEGO Y REGULACIÓN EMOCIONAL</w:t>
      </w:r>
    </w:p>
    <w:p w14:paraId="327F3FE1" w14:textId="77777777" w:rsidR="00AD3720" w:rsidRDefault="00000000">
      <w:pPr>
        <w:spacing w:after="100"/>
      </w:pPr>
      <w:r>
        <w:rPr>
          <w:rFonts w:ascii="Noto Sans" w:hAnsi="Noto Sans"/>
          <w:b/>
          <w:color w:val="17365D"/>
          <w:sz w:val="50"/>
        </w:rPr>
        <w:t>Neurociencia y vínculo</w:t>
      </w:r>
    </w:p>
    <w:p w14:paraId="56C2751A" w14:textId="77777777" w:rsidR="00AD3720" w:rsidRDefault="00000000">
      <w:pPr>
        <w:spacing w:after="160"/>
      </w:pPr>
      <w:r>
        <w:rPr>
          <w:i/>
          <w:color w:val="4F81BD"/>
          <w:sz w:val="27"/>
        </w:rPr>
        <w:t>Una mirada conjunta desde la teoría polivagal y el apego</w:t>
      </w:r>
    </w:p>
    <w:p w14:paraId="7D134287" w14:textId="77777777" w:rsidR="00AD3720" w:rsidRDefault="00000000">
      <w:pPr>
        <w:spacing w:after="260"/>
      </w:pPr>
      <w:r>
        <w:rPr>
          <w:rFonts w:ascii="Noto Sans" w:hAnsi="Noto Sans"/>
          <w:color w:val="6A6A6A"/>
          <w:sz w:val="19"/>
        </w:rPr>
        <w:t>Por Nancy Farah Escalante Ruíz, psicóloga clínica, psicoterapeuta y consultora familiar</w:t>
      </w:r>
    </w:p>
    <w:p w14:paraId="66EC3E4F" w14:textId="77777777" w:rsidR="00AD3720" w:rsidRDefault="00000000">
      <w:pPr>
        <w:pStyle w:val="Lead"/>
      </w:pPr>
      <w:r>
        <w:t>Lo que una persona vive en una relación no ocurre únicamente en sus pensamientos. El cuerpo también registra señales de seguridad y amenaza, se activa, se protege, busca cercanía o se desconecta. Comprender esta interacción permite mirar el sufrimiento con menos juicio y con mayor precisión clínica.</w:t>
      </w:r>
    </w:p>
    <w:p w14:paraId="101F53EA" w14:textId="77777777" w:rsidR="00AD3720" w:rsidRDefault="00000000">
      <w:pPr>
        <w:pStyle w:val="BodyTextCustom"/>
      </w:pPr>
      <w:r>
        <w:t>En mi práctica clínica como psicoterapeuta y consultora familiar he encontrado que la integración de la teoría polivagal y la teoría del apego ofrece un marco valioso para comprender las consecuencias de las experiencias adversas. Ambas perspectivas permiten traducir conceptos teóricos en estrategias orientadas a la regulación del sistema nervioso y a la reparación de vínculos establecidos.</w:t>
      </w:r>
    </w:p>
    <w:p w14:paraId="1CE2EB1D" w14:textId="77777777" w:rsidR="00AD3720" w:rsidRDefault="00000000">
      <w:pPr>
        <w:pStyle w:val="BodyTextCustom"/>
      </w:pPr>
      <w:r>
        <w:t>Esta mirada conjunta ayuda a evitar dos reducciones frecuentes: pensar que todo malestar se resuelve únicamente mediante explicaciones racionales o interpretar las respuestas de hiperactivación, bloqueo y desconexión como si fueran decisiones conscientes. En muchos casos, se trata de respuestas que fueron aprendidas para sobrevivir y que continúan apareciendo cuando el organismo percibe peligro, aun cuando la situación actual sea distinta de aquella en la que se originaron.</w:t>
      </w:r>
    </w:p>
    <w:tbl>
      <w:tblPr>
        <w:tblW w:w="0" w:type="auto"/>
        <w:jc w:val="center"/>
        <w:tblLayout w:type="fixed"/>
        <w:tblLook w:val="04A0" w:firstRow="1" w:lastRow="0" w:firstColumn="1" w:lastColumn="0" w:noHBand="0" w:noVBand="1"/>
      </w:tblPr>
      <w:tblGrid>
        <w:gridCol w:w="9878"/>
      </w:tblGrid>
      <w:tr w:rsidR="00AD3720" w14:paraId="054B2403" w14:textId="77777777">
        <w:trPr>
          <w:cantSplit/>
          <w:jc w:val="center"/>
        </w:trPr>
        <w:tc>
          <w:tcPr>
            <w:tcW w:w="9878" w:type="dxa"/>
            <w:tcBorders>
              <w:top w:val="nil"/>
              <w:left w:val="single" w:sz="18" w:space="0" w:color="315C5B"/>
              <w:bottom w:val="nil"/>
              <w:right w:val="nil"/>
            </w:tcBorders>
            <w:shd w:val="clear" w:color="auto" w:fill="EEF5F4"/>
            <w:tcMar>
              <w:top w:w="180" w:type="dxa"/>
              <w:left w:w="220" w:type="dxa"/>
              <w:bottom w:w="180" w:type="dxa"/>
              <w:right w:w="220" w:type="dxa"/>
            </w:tcMar>
          </w:tcPr>
          <w:p w14:paraId="4862665D" w14:textId="77777777" w:rsidR="00AD3720" w:rsidRDefault="00000000">
            <w:pPr>
              <w:spacing w:after="80"/>
            </w:pPr>
            <w:r>
              <w:rPr>
                <w:rFonts w:ascii="Noto Sans" w:eastAsia="Noto Sans" w:hAnsi="Noto Sans"/>
                <w:b/>
                <w:color w:val="315C5B"/>
              </w:rPr>
              <w:t>Idea central</w:t>
            </w:r>
          </w:p>
          <w:p w14:paraId="01FDEBC9" w14:textId="77777777" w:rsidR="00AD3720" w:rsidRDefault="00000000">
            <w:pPr>
              <w:spacing w:after="0" w:line="264" w:lineRule="auto"/>
            </w:pPr>
            <w:r>
              <w:t>La regulación emocional no ocurre de manera aislada. Se construye en el encuentro entre cuerpo, historia y vínculo. El sistema nervioso aprende a protegerse dentro de las relaciones y también puede aprender nuevas formas de seguridad dentro de ellas.</w:t>
            </w:r>
          </w:p>
        </w:tc>
      </w:tr>
    </w:tbl>
    <w:p w14:paraId="2EB13E17" w14:textId="77777777" w:rsidR="00AD3720" w:rsidRDefault="00AD3720">
      <w:pPr>
        <w:spacing w:after="0"/>
      </w:pPr>
    </w:p>
    <w:p w14:paraId="60A7CF44" w14:textId="77777777" w:rsidR="00AD3720" w:rsidRDefault="00000000">
      <w:pPr>
        <w:pStyle w:val="Ttulo1"/>
      </w:pPr>
      <w:r>
        <w:t>Dos perspectivas para comprender una misma experiencia</w:t>
      </w:r>
    </w:p>
    <w:p w14:paraId="20C750E0" w14:textId="77777777" w:rsidR="00AD3720" w:rsidRDefault="00000000">
      <w:pPr>
        <w:pStyle w:val="BodyTextCustom"/>
      </w:pPr>
      <w:r>
        <w:t>La teoría polivagal, propuesta por Stephen Porges, describe la manera en que el sistema nervioso autónomo organiza respuestas frente a señales de seguridad y amenaza. La teoría del apego, por su parte, pone el acento en las primeras relaciones y en la forma en que estas enseñan al niño a buscar protección, recibir consuelo y regular sus emociones con ayuda de otra persona.</w:t>
      </w:r>
    </w:p>
    <w:p w14:paraId="19766DCE" w14:textId="77777777" w:rsidR="00AD3720" w:rsidRDefault="00000000">
      <w:pPr>
        <w:pStyle w:val="BodyTextCustom"/>
      </w:pPr>
      <w:r>
        <w:t>Aunque parten de lenguajes distintos, ambas perspectivas convergen en un punto fundamental: la seguridad emocional tiene una dimensión corporal y una dimensión relacional. Una persona no solo necesita saber que está a salvo; necesita poder sentirlo en su cuerpo y experimentarlo dentro de un vínculo suficientemente predecible, sensible y receptivo.</w:t>
      </w:r>
    </w:p>
    <w:p w14:paraId="6F5F35CD" w14:textId="77777777" w:rsidR="00AD3720" w:rsidRDefault="00000000">
      <w:pPr>
        <w:pStyle w:val="Ttulo1"/>
      </w:pPr>
      <w:r>
        <w:lastRenderedPageBreak/>
        <w:t>La seguridad es una experiencia corporal y relacional</w:t>
      </w:r>
    </w:p>
    <w:p w14:paraId="329FDBA1" w14:textId="77777777" w:rsidR="00AD3720" w:rsidRDefault="00000000">
      <w:pPr>
        <w:pStyle w:val="BodyTextCustom"/>
      </w:pPr>
      <w:r>
        <w:t>Cuando el organismo detecta condiciones de seguridad, aumenta la posibilidad de mirar al otro, escuchar, pensar con mayor claridad, explorar y pedir ayuda. Cuando percibe amenaza, la prioridad cambia: el sistema deja de orientarse hacia el encuentro y organiza respuestas de protección.</w:t>
      </w:r>
    </w:p>
    <w:p w14:paraId="39B98761" w14:textId="77777777" w:rsidR="00AD3720" w:rsidRDefault="00000000">
      <w:pPr>
        <w:pStyle w:val="BodyTextCustom"/>
      </w:pPr>
      <w:r>
        <w:t>Estas respuestas no son errores del organismo. Constituyen intentos de adaptación. El problema aparece cuando se vuelven rígidas, se activan con demasiada facilidad o permanecen durante más tiempo del necesario. Entonces la persona puede sentirse en peligro incluso dentro de relaciones que desean cuidarla, o puede desconectarse precisamente cuando necesita apoyo.</w:t>
      </w:r>
    </w:p>
    <w:p w14:paraId="1D8B708D" w14:textId="77777777" w:rsidR="00AD3720" w:rsidRDefault="00000000">
      <w:pPr>
        <w:pStyle w:val="Ttulo1"/>
      </w:pPr>
      <w:r>
        <w:t>Tres estados como mapa clínico</w:t>
      </w:r>
    </w:p>
    <w:p w14:paraId="0969A2AC" w14:textId="77777777" w:rsidR="00AD3720" w:rsidRDefault="00000000">
      <w:pPr>
        <w:pStyle w:val="BodyTextCustom"/>
      </w:pPr>
      <w:r>
        <w:t>La teoría polivagal organiza la respuesta autonómica en tres grandes estados. Utilizados con prudencia, estos estados pueden funcionar como un mapa para comprender qué necesita una persona antes de intentar elaborar cognitivamente una experiencia dolorosa.</w:t>
      </w:r>
    </w:p>
    <w:tbl>
      <w:tblPr>
        <w:tblW w:w="0" w:type="auto"/>
        <w:jc w:val="center"/>
        <w:tblLayout w:type="fixed"/>
        <w:tblLook w:val="04A0" w:firstRow="1" w:lastRow="0" w:firstColumn="1" w:lastColumn="0" w:noHBand="0" w:noVBand="1"/>
      </w:tblPr>
      <w:tblGrid>
        <w:gridCol w:w="3293"/>
        <w:gridCol w:w="3293"/>
        <w:gridCol w:w="3293"/>
      </w:tblGrid>
      <w:tr w:rsidR="00AD3720" w14:paraId="570E2D6F" w14:textId="77777777">
        <w:trPr>
          <w:tblHeader/>
          <w:jc w:val="center"/>
        </w:trPr>
        <w:tc>
          <w:tcPr>
            <w:tcW w:w="3293" w:type="dxa"/>
            <w:shd w:val="clear" w:color="auto" w:fill="315C5B"/>
            <w:tcMar>
              <w:top w:w="120" w:type="dxa"/>
              <w:left w:w="120" w:type="dxa"/>
              <w:bottom w:w="120" w:type="dxa"/>
              <w:right w:w="120" w:type="dxa"/>
            </w:tcMar>
          </w:tcPr>
          <w:p w14:paraId="349264F8" w14:textId="77777777" w:rsidR="00AD3720" w:rsidRDefault="00000000">
            <w:pPr>
              <w:spacing w:after="0"/>
              <w:jc w:val="center"/>
            </w:pPr>
            <w:r>
              <w:rPr>
                <w:rFonts w:ascii="Noto Sans" w:eastAsia="Noto Sans" w:hAnsi="Noto Sans"/>
                <w:b/>
                <w:color w:val="FFFFFF"/>
                <w:sz w:val="19"/>
              </w:rPr>
              <w:t>Estado</w:t>
            </w:r>
          </w:p>
        </w:tc>
        <w:tc>
          <w:tcPr>
            <w:tcW w:w="3293" w:type="dxa"/>
            <w:shd w:val="clear" w:color="auto" w:fill="315C5B"/>
            <w:tcMar>
              <w:top w:w="120" w:type="dxa"/>
              <w:left w:w="120" w:type="dxa"/>
              <w:bottom w:w="120" w:type="dxa"/>
              <w:right w:w="120" w:type="dxa"/>
            </w:tcMar>
          </w:tcPr>
          <w:p w14:paraId="6F3858AE" w14:textId="77777777" w:rsidR="00AD3720" w:rsidRDefault="00000000">
            <w:pPr>
              <w:spacing w:after="0"/>
              <w:jc w:val="center"/>
            </w:pPr>
            <w:r>
              <w:rPr>
                <w:rFonts w:ascii="Noto Sans" w:eastAsia="Noto Sans" w:hAnsi="Noto Sans"/>
                <w:b/>
                <w:color w:val="FFFFFF"/>
                <w:sz w:val="19"/>
              </w:rPr>
              <w:t>Función principal</w:t>
            </w:r>
          </w:p>
        </w:tc>
        <w:tc>
          <w:tcPr>
            <w:tcW w:w="3293" w:type="dxa"/>
            <w:shd w:val="clear" w:color="auto" w:fill="315C5B"/>
            <w:tcMar>
              <w:top w:w="120" w:type="dxa"/>
              <w:left w:w="120" w:type="dxa"/>
              <w:bottom w:w="120" w:type="dxa"/>
              <w:right w:w="120" w:type="dxa"/>
            </w:tcMar>
          </w:tcPr>
          <w:p w14:paraId="5FAEFC34" w14:textId="77777777" w:rsidR="00AD3720" w:rsidRDefault="00000000">
            <w:pPr>
              <w:spacing w:after="0"/>
              <w:jc w:val="center"/>
            </w:pPr>
            <w:r>
              <w:rPr>
                <w:rFonts w:ascii="Noto Sans" w:eastAsia="Noto Sans" w:hAnsi="Noto Sans"/>
                <w:b/>
                <w:color w:val="FFFFFF"/>
                <w:sz w:val="19"/>
              </w:rPr>
              <w:t>Cómo puede vivirse</w:t>
            </w:r>
          </w:p>
        </w:tc>
      </w:tr>
      <w:tr w:rsidR="00AD3720" w14:paraId="41C05021" w14:textId="77777777">
        <w:trPr>
          <w:jc w:val="center"/>
        </w:trPr>
        <w:tc>
          <w:tcPr>
            <w:tcW w:w="3293" w:type="dxa"/>
            <w:tcBorders>
              <w:top w:val="single" w:sz="4" w:space="0" w:color="D4DFDE"/>
              <w:left w:val="single" w:sz="4" w:space="0" w:color="D4DFDE"/>
              <w:bottom w:val="single" w:sz="4" w:space="0" w:color="D4DFDE"/>
              <w:right w:val="single" w:sz="4" w:space="0" w:color="D4DFDE"/>
            </w:tcBorders>
            <w:shd w:val="clear" w:color="auto" w:fill="FFFFFF"/>
            <w:tcMar>
              <w:top w:w="120" w:type="dxa"/>
              <w:left w:w="130" w:type="dxa"/>
              <w:bottom w:w="120" w:type="dxa"/>
              <w:right w:w="130" w:type="dxa"/>
            </w:tcMar>
          </w:tcPr>
          <w:p w14:paraId="55F1CD4B" w14:textId="77777777" w:rsidR="00AD3720" w:rsidRDefault="00000000">
            <w:pPr>
              <w:spacing w:after="0" w:line="252" w:lineRule="auto"/>
            </w:pPr>
            <w:r>
              <w:rPr>
                <w:rFonts w:ascii="Noto Sans" w:eastAsia="Noto Sans" w:hAnsi="Noto Sans"/>
                <w:b/>
                <w:color w:val="5B2D43"/>
                <w:sz w:val="18"/>
              </w:rPr>
              <w:t>Vagal ventral</w:t>
            </w:r>
          </w:p>
        </w:tc>
        <w:tc>
          <w:tcPr>
            <w:tcW w:w="3293" w:type="dxa"/>
            <w:tcBorders>
              <w:top w:val="single" w:sz="4" w:space="0" w:color="D4DFDE"/>
              <w:left w:val="single" w:sz="4" w:space="0" w:color="D4DFDE"/>
              <w:bottom w:val="single" w:sz="4" w:space="0" w:color="D4DFDE"/>
              <w:right w:val="single" w:sz="4" w:space="0" w:color="D4DFDE"/>
            </w:tcBorders>
            <w:shd w:val="clear" w:color="auto" w:fill="FFFFFF"/>
            <w:tcMar>
              <w:top w:w="120" w:type="dxa"/>
              <w:left w:w="130" w:type="dxa"/>
              <w:bottom w:w="120" w:type="dxa"/>
              <w:right w:w="130" w:type="dxa"/>
            </w:tcMar>
          </w:tcPr>
          <w:p w14:paraId="385DAB82" w14:textId="77777777" w:rsidR="00AD3720" w:rsidRDefault="00000000">
            <w:pPr>
              <w:spacing w:after="0" w:line="252" w:lineRule="auto"/>
            </w:pPr>
            <w:r>
              <w:rPr>
                <w:sz w:val="18"/>
              </w:rPr>
              <w:t>Conexión social, calma y disponibilidad para el vínculo.</w:t>
            </w:r>
          </w:p>
        </w:tc>
        <w:tc>
          <w:tcPr>
            <w:tcW w:w="3293" w:type="dxa"/>
            <w:tcBorders>
              <w:top w:val="single" w:sz="4" w:space="0" w:color="D4DFDE"/>
              <w:left w:val="single" w:sz="4" w:space="0" w:color="D4DFDE"/>
              <w:bottom w:val="single" w:sz="4" w:space="0" w:color="D4DFDE"/>
              <w:right w:val="single" w:sz="4" w:space="0" w:color="D4DFDE"/>
            </w:tcBorders>
            <w:shd w:val="clear" w:color="auto" w:fill="FFFFFF"/>
            <w:tcMar>
              <w:top w:w="120" w:type="dxa"/>
              <w:left w:w="130" w:type="dxa"/>
              <w:bottom w:w="120" w:type="dxa"/>
              <w:right w:w="130" w:type="dxa"/>
            </w:tcMar>
          </w:tcPr>
          <w:p w14:paraId="7C897E54" w14:textId="77777777" w:rsidR="00AD3720" w:rsidRDefault="00000000">
            <w:pPr>
              <w:spacing w:after="0" w:line="252" w:lineRule="auto"/>
            </w:pPr>
            <w:r>
              <w:rPr>
                <w:sz w:val="18"/>
              </w:rPr>
              <w:t>Mayor capacidad para conversar, recibir apoyo, pensar y permanecer en contacto.</w:t>
            </w:r>
          </w:p>
        </w:tc>
      </w:tr>
      <w:tr w:rsidR="00AD3720" w14:paraId="106D0322" w14:textId="77777777">
        <w:trPr>
          <w:jc w:val="center"/>
        </w:trPr>
        <w:tc>
          <w:tcPr>
            <w:tcW w:w="3293" w:type="dxa"/>
            <w:tcBorders>
              <w:top w:val="single" w:sz="4" w:space="0" w:color="D4DFDE"/>
              <w:left w:val="single" w:sz="4" w:space="0" w:color="D4DFDE"/>
              <w:bottom w:val="single" w:sz="4" w:space="0" w:color="D4DFDE"/>
              <w:right w:val="single" w:sz="4" w:space="0" w:color="D4DFDE"/>
            </w:tcBorders>
            <w:shd w:val="clear" w:color="auto" w:fill="F6F9F9"/>
            <w:tcMar>
              <w:top w:w="120" w:type="dxa"/>
              <w:left w:w="130" w:type="dxa"/>
              <w:bottom w:w="120" w:type="dxa"/>
              <w:right w:w="130" w:type="dxa"/>
            </w:tcMar>
          </w:tcPr>
          <w:p w14:paraId="09CEE652" w14:textId="77777777" w:rsidR="00AD3720" w:rsidRDefault="00000000">
            <w:pPr>
              <w:spacing w:after="0" w:line="252" w:lineRule="auto"/>
            </w:pPr>
            <w:r>
              <w:rPr>
                <w:rFonts w:ascii="Noto Sans" w:eastAsia="Noto Sans" w:hAnsi="Noto Sans"/>
                <w:b/>
                <w:color w:val="5B2D43"/>
                <w:sz w:val="18"/>
              </w:rPr>
              <w:t>Simpático</w:t>
            </w:r>
          </w:p>
        </w:tc>
        <w:tc>
          <w:tcPr>
            <w:tcW w:w="3293" w:type="dxa"/>
            <w:tcBorders>
              <w:top w:val="single" w:sz="4" w:space="0" w:color="D4DFDE"/>
              <w:left w:val="single" w:sz="4" w:space="0" w:color="D4DFDE"/>
              <w:bottom w:val="single" w:sz="4" w:space="0" w:color="D4DFDE"/>
              <w:right w:val="single" w:sz="4" w:space="0" w:color="D4DFDE"/>
            </w:tcBorders>
            <w:shd w:val="clear" w:color="auto" w:fill="F6F9F9"/>
            <w:tcMar>
              <w:top w:w="120" w:type="dxa"/>
              <w:left w:w="130" w:type="dxa"/>
              <w:bottom w:w="120" w:type="dxa"/>
              <w:right w:w="130" w:type="dxa"/>
            </w:tcMar>
          </w:tcPr>
          <w:p w14:paraId="61669395" w14:textId="77777777" w:rsidR="00AD3720" w:rsidRDefault="00000000">
            <w:pPr>
              <w:spacing w:after="0" w:line="252" w:lineRule="auto"/>
            </w:pPr>
            <w:r>
              <w:rPr>
                <w:sz w:val="18"/>
              </w:rPr>
              <w:t>Movilización ante la amenaza: lucha o huida.</w:t>
            </w:r>
          </w:p>
        </w:tc>
        <w:tc>
          <w:tcPr>
            <w:tcW w:w="3293" w:type="dxa"/>
            <w:tcBorders>
              <w:top w:val="single" w:sz="4" w:space="0" w:color="D4DFDE"/>
              <w:left w:val="single" w:sz="4" w:space="0" w:color="D4DFDE"/>
              <w:bottom w:val="single" w:sz="4" w:space="0" w:color="D4DFDE"/>
              <w:right w:val="single" w:sz="4" w:space="0" w:color="D4DFDE"/>
            </w:tcBorders>
            <w:shd w:val="clear" w:color="auto" w:fill="F6F9F9"/>
            <w:tcMar>
              <w:top w:w="120" w:type="dxa"/>
              <w:left w:w="130" w:type="dxa"/>
              <w:bottom w:w="120" w:type="dxa"/>
              <w:right w:w="130" w:type="dxa"/>
            </w:tcMar>
          </w:tcPr>
          <w:p w14:paraId="37389305" w14:textId="77777777" w:rsidR="00AD3720" w:rsidRDefault="00000000">
            <w:pPr>
              <w:spacing w:after="0" w:line="252" w:lineRule="auto"/>
            </w:pPr>
            <w:r>
              <w:rPr>
                <w:sz w:val="18"/>
              </w:rPr>
              <w:t>Agitación, urgencia, tensión, irritabilidad, miedo o necesidad de escapar y defenderse.</w:t>
            </w:r>
          </w:p>
        </w:tc>
      </w:tr>
      <w:tr w:rsidR="00AD3720" w14:paraId="68513307" w14:textId="77777777">
        <w:trPr>
          <w:jc w:val="center"/>
        </w:trPr>
        <w:tc>
          <w:tcPr>
            <w:tcW w:w="3293" w:type="dxa"/>
            <w:tcBorders>
              <w:top w:val="single" w:sz="4" w:space="0" w:color="D4DFDE"/>
              <w:left w:val="single" w:sz="4" w:space="0" w:color="D4DFDE"/>
              <w:bottom w:val="single" w:sz="4" w:space="0" w:color="D4DFDE"/>
              <w:right w:val="single" w:sz="4" w:space="0" w:color="D4DFDE"/>
            </w:tcBorders>
            <w:shd w:val="clear" w:color="auto" w:fill="FFFFFF"/>
            <w:tcMar>
              <w:top w:w="120" w:type="dxa"/>
              <w:left w:w="130" w:type="dxa"/>
              <w:bottom w:w="120" w:type="dxa"/>
              <w:right w:w="130" w:type="dxa"/>
            </w:tcMar>
          </w:tcPr>
          <w:p w14:paraId="411DDA70" w14:textId="77777777" w:rsidR="00AD3720" w:rsidRDefault="00000000">
            <w:pPr>
              <w:spacing w:after="0" w:line="252" w:lineRule="auto"/>
            </w:pPr>
            <w:r>
              <w:rPr>
                <w:rFonts w:ascii="Noto Sans" w:eastAsia="Noto Sans" w:hAnsi="Noto Sans"/>
                <w:b/>
                <w:color w:val="5B2D43"/>
                <w:sz w:val="18"/>
              </w:rPr>
              <w:t>Vagal dorsal</w:t>
            </w:r>
          </w:p>
        </w:tc>
        <w:tc>
          <w:tcPr>
            <w:tcW w:w="3293" w:type="dxa"/>
            <w:tcBorders>
              <w:top w:val="single" w:sz="4" w:space="0" w:color="D4DFDE"/>
              <w:left w:val="single" w:sz="4" w:space="0" w:color="D4DFDE"/>
              <w:bottom w:val="single" w:sz="4" w:space="0" w:color="D4DFDE"/>
              <w:right w:val="single" w:sz="4" w:space="0" w:color="D4DFDE"/>
            </w:tcBorders>
            <w:shd w:val="clear" w:color="auto" w:fill="FFFFFF"/>
            <w:tcMar>
              <w:top w:w="120" w:type="dxa"/>
              <w:left w:w="130" w:type="dxa"/>
              <w:bottom w:w="120" w:type="dxa"/>
              <w:right w:w="130" w:type="dxa"/>
            </w:tcMar>
          </w:tcPr>
          <w:p w14:paraId="3151BF2C" w14:textId="77777777" w:rsidR="00AD3720" w:rsidRDefault="00000000">
            <w:pPr>
              <w:spacing w:after="0" w:line="252" w:lineRule="auto"/>
            </w:pPr>
            <w:r>
              <w:rPr>
                <w:sz w:val="18"/>
              </w:rPr>
              <w:t>Inmovilización, retirada o colapso cuando la movilización no parece posible.</w:t>
            </w:r>
          </w:p>
        </w:tc>
        <w:tc>
          <w:tcPr>
            <w:tcW w:w="3293" w:type="dxa"/>
            <w:tcBorders>
              <w:top w:val="single" w:sz="4" w:space="0" w:color="D4DFDE"/>
              <w:left w:val="single" w:sz="4" w:space="0" w:color="D4DFDE"/>
              <w:bottom w:val="single" w:sz="4" w:space="0" w:color="D4DFDE"/>
              <w:right w:val="single" w:sz="4" w:space="0" w:color="D4DFDE"/>
            </w:tcBorders>
            <w:shd w:val="clear" w:color="auto" w:fill="FFFFFF"/>
            <w:tcMar>
              <w:top w:w="120" w:type="dxa"/>
              <w:left w:w="130" w:type="dxa"/>
              <w:bottom w:w="120" w:type="dxa"/>
              <w:right w:w="130" w:type="dxa"/>
            </w:tcMar>
          </w:tcPr>
          <w:p w14:paraId="281FD593" w14:textId="77777777" w:rsidR="00AD3720" w:rsidRDefault="00000000">
            <w:pPr>
              <w:spacing w:after="0" w:line="252" w:lineRule="auto"/>
            </w:pPr>
            <w:r>
              <w:rPr>
                <w:sz w:val="18"/>
              </w:rPr>
              <w:t>Apagamiento, entumecimiento, cansancio intenso, bloqueo o desconexión de la experiencia.</w:t>
            </w:r>
          </w:p>
        </w:tc>
      </w:tr>
    </w:tbl>
    <w:p w14:paraId="0E1F9074" w14:textId="77777777" w:rsidR="00AD3720" w:rsidRDefault="00AD3720">
      <w:pPr>
        <w:spacing w:after="0"/>
      </w:pPr>
    </w:p>
    <w:p w14:paraId="6BF55DBF" w14:textId="77777777" w:rsidR="00AD3720" w:rsidRDefault="00000000">
      <w:pPr>
        <w:pStyle w:val="BodyTextCustom"/>
      </w:pPr>
      <w:r>
        <w:t>Los tres estados son adaptativos. La activación simpática puede movilizarnos para defendernos y el estado dorsal puede reducir el contacto con una experiencia que resulta abrumadora. El objetivo terapéutico no consiste en eliminar estas respuestas, sino en recuperar flexibilidad: poder activarse cuando es necesario, regresar a la calma y mantener la posibilidad de conexión.</w:t>
      </w:r>
    </w:p>
    <w:tbl>
      <w:tblPr>
        <w:tblW w:w="0" w:type="auto"/>
        <w:jc w:val="center"/>
        <w:tblLayout w:type="fixed"/>
        <w:tblLook w:val="04A0" w:firstRow="1" w:lastRow="0" w:firstColumn="1" w:lastColumn="0" w:noHBand="0" w:noVBand="1"/>
      </w:tblPr>
      <w:tblGrid>
        <w:gridCol w:w="9878"/>
      </w:tblGrid>
      <w:tr w:rsidR="00AD3720" w14:paraId="71878D7B" w14:textId="77777777">
        <w:trPr>
          <w:cantSplit/>
          <w:jc w:val="center"/>
        </w:trPr>
        <w:tc>
          <w:tcPr>
            <w:tcW w:w="9878" w:type="dxa"/>
            <w:tcBorders>
              <w:top w:val="single" w:sz="6" w:space="0" w:color="DDCBD3"/>
              <w:left w:val="nil"/>
              <w:bottom w:val="single" w:sz="6" w:space="0" w:color="DDCBD3"/>
              <w:right w:val="nil"/>
            </w:tcBorders>
            <w:shd w:val="clear" w:color="auto" w:fill="F7F2F4"/>
            <w:tcMar>
              <w:top w:w="210" w:type="dxa"/>
              <w:left w:w="260" w:type="dxa"/>
              <w:bottom w:w="210" w:type="dxa"/>
              <w:right w:w="260" w:type="dxa"/>
            </w:tcMar>
          </w:tcPr>
          <w:p w14:paraId="3F1A5DA6" w14:textId="77777777" w:rsidR="00AD3720" w:rsidRDefault="00000000">
            <w:pPr>
              <w:spacing w:after="0"/>
              <w:jc w:val="center"/>
            </w:pPr>
            <w:r>
              <w:rPr>
                <w:i/>
                <w:color w:val="5B2D43"/>
                <w:sz w:val="24"/>
              </w:rPr>
              <w:t>“El problema no es que el sistema nervioso se proteja, sino que tenga que vivir como si el peligro nunca hubiera terminado.”</w:t>
            </w:r>
          </w:p>
        </w:tc>
      </w:tr>
    </w:tbl>
    <w:p w14:paraId="784BA243" w14:textId="77777777" w:rsidR="00AD3720" w:rsidRDefault="00AD3720">
      <w:pPr>
        <w:spacing w:after="0"/>
      </w:pPr>
    </w:p>
    <w:p w14:paraId="089CEAD7" w14:textId="77777777" w:rsidR="00AD3720" w:rsidRDefault="00000000">
      <w:pPr>
        <w:pStyle w:val="Ttulo1"/>
      </w:pPr>
      <w:r>
        <w:lastRenderedPageBreak/>
        <w:t>El apego como aprendizaje de co-regulación</w:t>
      </w:r>
    </w:p>
    <w:p w14:paraId="06E9EF62" w14:textId="77777777" w:rsidR="00AD3720" w:rsidRDefault="00000000">
      <w:pPr>
        <w:pStyle w:val="BodyTextCustom"/>
      </w:pPr>
      <w:r>
        <w:t>La teoría del apego permite comprender cómo se construye esa flexibilidad. Durante los primeros años, el niño todavía no puede regular por sí solo estados intensos de miedo, frustración o malestar. Necesita que una figura cuidadora responda, organice la experiencia y le ayude a volver a la calma. A este proceso se le denomina co-regulación.</w:t>
      </w:r>
    </w:p>
    <w:p w14:paraId="57913BB2" w14:textId="77777777" w:rsidR="00AD3720" w:rsidRDefault="00000000">
      <w:pPr>
        <w:pStyle w:val="BodyTextCustom"/>
      </w:pPr>
      <w:r>
        <w:t>Cuando el cuidado es suficientemente sensible y consistente, el niño aprende que puede buscar al otro sin quedar abandonado, invadido o castigado. Con el tiempo, esas experiencias relacionales se convierten en recursos internos. La persona desarrolla mayor capacidad para reconocer lo que siente, pedir ayuda, tolerar la cercanía y recuperar estabilidad después de una activación.</w:t>
      </w:r>
    </w:p>
    <w:p w14:paraId="79AC053C" w14:textId="77777777" w:rsidR="00AD3720" w:rsidRDefault="00000000">
      <w:pPr>
        <w:pStyle w:val="BodyTextCustom"/>
      </w:pPr>
      <w:r>
        <w:t>En cambio, las experiencias de abandono, abuso, negligencia o imprevisibilidad pueden dejar huellas emocionales y neurobiológicas. La relación, que debería ser fuente de protección, puede convertirse también en un lugar de peligro. En esas condiciones, el sistema aprende estrategias defensivas que alguna vez fueron necesarias, pero que después pueden limitar la intimidad, la confianza y la regulación emocional.</w:t>
      </w:r>
    </w:p>
    <w:p w14:paraId="5751CC60" w14:textId="77777777" w:rsidR="00AD3720" w:rsidRDefault="00000000">
      <w:pPr>
        <w:pStyle w:val="Ttulo1"/>
      </w:pPr>
      <w:r>
        <w:t>Cuando el vínculo activa la alarma</w:t>
      </w:r>
    </w:p>
    <w:p w14:paraId="781A6932" w14:textId="77777777" w:rsidR="00AD3720" w:rsidRDefault="00000000">
      <w:pPr>
        <w:pStyle w:val="BodyTextCustom"/>
      </w:pPr>
      <w:r>
        <w:t>La integración entre apego y regulación autonómica ayuda a comprender por qué algunas personas desean cercanía y, al mismo tiempo, se sienten amenazadas por ella. La búsqueda de apoyo puede activar miedo al abandono, mientras que recibir cuidado puede despertar desconfianza, vergüenza o necesidad de alejarse.</w:t>
      </w:r>
    </w:p>
    <w:p w14:paraId="284299B4" w14:textId="77777777" w:rsidR="00AD3720" w:rsidRDefault="00000000">
      <w:pPr>
        <w:pStyle w:val="BodyTextCustom"/>
      </w:pPr>
      <w:r>
        <w:t>En consulta, estas respuestas pueden observarse cuando una persona:</w:t>
      </w:r>
    </w:p>
    <w:p w14:paraId="1E0F4F81" w14:textId="77777777" w:rsidR="00AD3720" w:rsidRDefault="00000000">
      <w:pPr>
        <w:pStyle w:val="ListBulletCustom"/>
      </w:pPr>
      <w:r>
        <w:t>se activa intensamente ante silencios, desacuerdos o cambios en el tono de voz;</w:t>
      </w:r>
    </w:p>
    <w:p w14:paraId="4C69DBC8" w14:textId="77777777" w:rsidR="00AD3720" w:rsidRDefault="00000000">
      <w:pPr>
        <w:pStyle w:val="ListBulletCustom"/>
      </w:pPr>
      <w:r>
        <w:t>necesita controlar la distancia emocional para no sentirse abandonada o invadida;</w:t>
      </w:r>
    </w:p>
    <w:p w14:paraId="14217248" w14:textId="77777777" w:rsidR="00AD3720" w:rsidRDefault="00000000">
      <w:pPr>
        <w:pStyle w:val="ListBulletCustom"/>
      </w:pPr>
      <w:r>
        <w:t>se desconecta de sus sensaciones o de su vivencia cuando una emoción aumenta;</w:t>
      </w:r>
    </w:p>
    <w:p w14:paraId="6229F9D6" w14:textId="77777777" w:rsidR="00AD3720" w:rsidRDefault="00000000">
      <w:pPr>
        <w:pStyle w:val="ListBulletCustom"/>
      </w:pPr>
      <w:r>
        <w:t>tiene dificultad para recibir consuelo, aunque conscientemente lo desee;</w:t>
      </w:r>
    </w:p>
    <w:p w14:paraId="7F628418" w14:textId="77777777" w:rsidR="00AD3720" w:rsidRDefault="00000000">
      <w:pPr>
        <w:pStyle w:val="ListBulletCustom"/>
      </w:pPr>
      <w:r>
        <w:t>oscila entre hiperactivación y apagamiento sin poder permanecer en una zona de contacto suficiente;</w:t>
      </w:r>
    </w:p>
    <w:p w14:paraId="01728881" w14:textId="77777777" w:rsidR="00AD3720" w:rsidRDefault="00000000">
      <w:pPr>
        <w:pStyle w:val="ListBulletCustom"/>
      </w:pPr>
      <w:r>
        <w:t>interpreta como peligro una cercanía que, en el presente, podría ser segura.</w:t>
      </w:r>
    </w:p>
    <w:p w14:paraId="21EB730A" w14:textId="77777777" w:rsidR="00AD3720" w:rsidRDefault="00000000">
      <w:pPr>
        <w:pStyle w:val="BodyTextCustom"/>
      </w:pPr>
      <w:r>
        <w:t>Estas manifestaciones no constituyen por sí mismas un diagnóstico. Son señales clínicas que deben comprenderse dentro de la historia de la persona, de sus relaciones y de las condiciones concretas de su vida actual.</w:t>
      </w:r>
    </w:p>
    <w:p w14:paraId="60A9069F" w14:textId="77777777" w:rsidR="00AD3720" w:rsidRDefault="00000000">
      <w:pPr>
        <w:pStyle w:val="Ttulo1"/>
      </w:pPr>
      <w:r>
        <w:t>No es resistencia ni falta de voluntad</w:t>
      </w:r>
    </w:p>
    <w:p w14:paraId="4F6FEBBF" w14:textId="77777777" w:rsidR="00AD3720" w:rsidRDefault="00000000">
      <w:pPr>
        <w:pStyle w:val="BodyTextCustom"/>
      </w:pPr>
      <w:r>
        <w:t>Uno de los aportes más importantes de esta mirada es que permite dejar de moralizar la respuesta de la persona. La hiperactivación, el congelamiento o la desconexión pueden ser interpretados desde fuera como resistencia, desinterés, flojera, manipulación o falta de compromiso. Sin embargo, con frecuencia expresan una organización neurobiológica aprendida para sobrevivir.</w:t>
      </w:r>
    </w:p>
    <w:p w14:paraId="13B3E8CA" w14:textId="77777777" w:rsidR="00AD3720" w:rsidRDefault="00000000">
      <w:pPr>
        <w:pStyle w:val="BodyTextCustom"/>
      </w:pPr>
      <w:r>
        <w:lastRenderedPageBreak/>
        <w:t>Cuando alguien queda en silencio, no puede recordar, se desconecta de su cuerpo o parece incapaz de acercarse a una experiencia, no siempre está eligiendo evitarla. Puede estar fuera de las condiciones fisiológicas necesarias para pensarla. Insistir en hablar o confrontar sin restaurar primero un mínimo de seguridad puede aumentar la amenaza y profundizar la desconexión.</w:t>
      </w:r>
    </w:p>
    <w:tbl>
      <w:tblPr>
        <w:tblW w:w="0" w:type="auto"/>
        <w:jc w:val="center"/>
        <w:tblLayout w:type="fixed"/>
        <w:tblLook w:val="04A0" w:firstRow="1" w:lastRow="0" w:firstColumn="1" w:lastColumn="0" w:noHBand="0" w:noVBand="1"/>
      </w:tblPr>
      <w:tblGrid>
        <w:gridCol w:w="9878"/>
      </w:tblGrid>
      <w:tr w:rsidR="00AD3720" w14:paraId="024D018C" w14:textId="77777777">
        <w:trPr>
          <w:cantSplit/>
          <w:jc w:val="center"/>
        </w:trPr>
        <w:tc>
          <w:tcPr>
            <w:tcW w:w="9878" w:type="dxa"/>
            <w:tcBorders>
              <w:top w:val="nil"/>
              <w:left w:val="single" w:sz="18" w:space="0" w:color="5B2D43"/>
              <w:bottom w:val="nil"/>
              <w:right w:val="nil"/>
            </w:tcBorders>
            <w:shd w:val="clear" w:color="auto" w:fill="F7F2F4"/>
            <w:tcMar>
              <w:top w:w="180" w:type="dxa"/>
              <w:left w:w="220" w:type="dxa"/>
              <w:bottom w:w="180" w:type="dxa"/>
              <w:right w:w="220" w:type="dxa"/>
            </w:tcMar>
          </w:tcPr>
          <w:p w14:paraId="77F63E28" w14:textId="77777777" w:rsidR="00AD3720" w:rsidRDefault="00000000">
            <w:pPr>
              <w:spacing w:after="80"/>
            </w:pPr>
            <w:r>
              <w:rPr>
                <w:rFonts w:ascii="Noto Sans" w:eastAsia="Noto Sans" w:hAnsi="Noto Sans"/>
                <w:b/>
                <w:color w:val="5B2D43"/>
              </w:rPr>
              <w:t>Cambio de pregunta clínica</w:t>
            </w:r>
          </w:p>
          <w:p w14:paraId="3CBB8E40" w14:textId="77777777" w:rsidR="00AD3720" w:rsidRDefault="00000000">
            <w:pPr>
              <w:spacing w:after="0" w:line="264" w:lineRule="auto"/>
            </w:pPr>
            <w:r>
              <w:t>En lugar de preguntar únicamente “¿por qué no quiere avanzar?”, puede resultar más útil preguntar: “¿qué está detectando su sistema nervioso?, ¿qué intenta proteger?, ¿qué necesita para volver a sentirse suficientemente seguro y permanecer en contacto?”.</w:t>
            </w:r>
          </w:p>
        </w:tc>
      </w:tr>
    </w:tbl>
    <w:p w14:paraId="5F411899" w14:textId="77777777" w:rsidR="00AD3720" w:rsidRDefault="00AD3720">
      <w:pPr>
        <w:spacing w:after="0"/>
      </w:pPr>
    </w:p>
    <w:p w14:paraId="5F597D06" w14:textId="77777777" w:rsidR="00AD3720" w:rsidRDefault="00000000">
      <w:pPr>
        <w:pStyle w:val="Ttulo1"/>
      </w:pPr>
      <w:r>
        <w:t>La psicoterapia comienza por leer el estado, no solo el relato</w:t>
      </w:r>
    </w:p>
    <w:p w14:paraId="071E3F0D" w14:textId="77777777" w:rsidR="00AD3720" w:rsidRDefault="00000000">
      <w:pPr>
        <w:pStyle w:val="BodyTextCustom"/>
      </w:pPr>
      <w:r>
        <w:t>La integración de estos modelos permite desarrollar planes de tratamiento que atienden a la persona en sus dimensiones fisiológica, emocional y relacional. Esto significa que el terapeuta no escucha únicamente lo que se dice. También observa la manera en que cambia la respiración, el tono corporal, la mirada, la voz, el ritmo del discurso y la capacidad para mantenerse presente.</w:t>
      </w:r>
    </w:p>
    <w:p w14:paraId="2E659078" w14:textId="77777777" w:rsidR="00AD3720" w:rsidRDefault="00000000">
      <w:pPr>
        <w:pStyle w:val="BodyTextCustom"/>
      </w:pPr>
      <w:r>
        <w:t>Antes de profundizar en un recuerdo o en una experiencia dolorosa, puede ser necesario trabajar con estabilización y orientación hacia el presente. La finalidad no es evitar indefinidamente el contenido traumático, sino crear las condiciones para que pueda ser abordado sin que la persona quede nuevamente desbordada o desconectada.</w:t>
      </w:r>
    </w:p>
    <w:p w14:paraId="09640EA9" w14:textId="77777777" w:rsidR="00AD3720" w:rsidRDefault="00000000">
      <w:pPr>
        <w:pStyle w:val="Ttulo2"/>
      </w:pPr>
      <w:r>
        <w:t>Del estado de alarma a la posibilidad de elaborar</w:t>
      </w:r>
    </w:p>
    <w:p w14:paraId="5E930C4F" w14:textId="77777777" w:rsidR="00AD3720" w:rsidRDefault="00000000">
      <w:pPr>
        <w:pStyle w:val="BodyTextCustom"/>
      </w:pPr>
      <w:r>
        <w:t>En términos clínicos, el proceso puede organizarse de manera gradual:</w:t>
      </w:r>
    </w:p>
    <w:p w14:paraId="4A4C2544" w14:textId="77777777" w:rsidR="00AD3720" w:rsidRDefault="00000000">
      <w:pPr>
        <w:pStyle w:val="BodyTextCustom"/>
        <w:ind w:left="259" w:hanging="259"/>
      </w:pPr>
      <w:r>
        <w:rPr>
          <w:rFonts w:ascii="Noto Sans" w:hAnsi="Noto Sans"/>
          <w:b/>
        </w:rPr>
        <w:t xml:space="preserve">1.  </w:t>
      </w:r>
      <w:r>
        <w:t>Reconocer el estado actual. Identificar si predomina conexión, movilización defensiva o desconexión.</w:t>
      </w:r>
    </w:p>
    <w:p w14:paraId="663E7120" w14:textId="77777777" w:rsidR="00AD3720" w:rsidRDefault="00000000">
      <w:pPr>
        <w:pStyle w:val="BodyTextCustom"/>
        <w:ind w:left="259" w:hanging="259"/>
      </w:pPr>
      <w:r>
        <w:rPr>
          <w:rFonts w:ascii="Noto Sans" w:hAnsi="Noto Sans"/>
          <w:b/>
        </w:rPr>
        <w:t xml:space="preserve">2.  </w:t>
      </w:r>
      <w:r>
        <w:t>Restablecer orientación y estabilidad. Favorecer contacto con el presente y disminuir la sensación de amenaza inmediata.</w:t>
      </w:r>
    </w:p>
    <w:p w14:paraId="0486C726" w14:textId="77777777" w:rsidR="00AD3720" w:rsidRDefault="00000000">
      <w:pPr>
        <w:pStyle w:val="BodyTextCustom"/>
        <w:ind w:left="259" w:hanging="259"/>
      </w:pPr>
      <w:r>
        <w:rPr>
          <w:rFonts w:ascii="Noto Sans" w:hAnsi="Noto Sans"/>
          <w:b/>
        </w:rPr>
        <w:t xml:space="preserve">3.  </w:t>
      </w:r>
      <w:r>
        <w:t>Construir co-regulación. Utilizar una presencia predecible, un tono de voz adecuado y un ritmo que la persona pueda tolerar.</w:t>
      </w:r>
    </w:p>
    <w:p w14:paraId="4192AD35" w14:textId="77777777" w:rsidR="00AD3720" w:rsidRDefault="00000000">
      <w:pPr>
        <w:pStyle w:val="BodyTextCustom"/>
        <w:ind w:left="259" w:hanging="259"/>
      </w:pPr>
      <w:r>
        <w:rPr>
          <w:rFonts w:ascii="Noto Sans" w:hAnsi="Noto Sans"/>
          <w:b/>
        </w:rPr>
        <w:t xml:space="preserve">4.  </w:t>
      </w:r>
      <w:r>
        <w:t>Dar palabras a la experiencia. Cuando existe suficiente seguridad, comenzar a nombrar emociones, significados y necesidades.</w:t>
      </w:r>
    </w:p>
    <w:p w14:paraId="330BB122" w14:textId="77777777" w:rsidR="00AD3720" w:rsidRDefault="00000000">
      <w:pPr>
        <w:pStyle w:val="BodyTextCustom"/>
        <w:ind w:left="259" w:hanging="259"/>
      </w:pPr>
      <w:r>
        <w:rPr>
          <w:rFonts w:ascii="Noto Sans" w:hAnsi="Noto Sans"/>
          <w:b/>
        </w:rPr>
        <w:t xml:space="preserve">5.  </w:t>
      </w:r>
      <w:r>
        <w:t>Resignificar dentro de un vínculo. Integrar lo vivido sin reducir a la persona a su trauma ni negar la función que tuvieron sus defensas.</w:t>
      </w:r>
    </w:p>
    <w:p w14:paraId="629727E3" w14:textId="77777777" w:rsidR="00AD3720" w:rsidRDefault="00000000">
      <w:pPr>
        <w:pStyle w:val="Ttulo1"/>
      </w:pPr>
      <w:r>
        <w:t>Un ejemplo clínico de estabilización y vínculo</w:t>
      </w:r>
    </w:p>
    <w:p w14:paraId="5BE214B1" w14:textId="77777777" w:rsidR="00AD3720" w:rsidRDefault="00000000">
      <w:pPr>
        <w:pStyle w:val="BodyTextCustom"/>
      </w:pPr>
      <w:r>
        <w:t xml:space="preserve">En una sesión con una paciente con historia de abandono, el trabajo no comenzó exigiendo una explicación exhaustiva de su experiencia. Frente a la activación y la desconexión, fue necesario </w:t>
      </w:r>
      <w:r>
        <w:lastRenderedPageBreak/>
        <w:t>utilizar de manera consciente el tono de voz y diversas técnicas de estabilización. Esto facilitó una experiencia inicial de seguridad y permitió que la paciente recuperara mayor contacto con lo que estaba viviendo.</w:t>
      </w:r>
    </w:p>
    <w:p w14:paraId="0B40B35B" w14:textId="77777777" w:rsidR="00AD3720" w:rsidRDefault="00000000">
      <w:pPr>
        <w:pStyle w:val="BodyTextCustom"/>
      </w:pPr>
      <w:r>
        <w:t>Solo después fue posible acercarse al contenido emocional y trabajar en la reparación y resignificación de las experiencias sobrevividas. El ejemplo muestra que la técnica no actúa de manera separada del vínculo: la forma en que el terapeuta está presente, modula y acompaña también constituye parte del tratamiento.</w:t>
      </w:r>
    </w:p>
    <w:p w14:paraId="4C2D507F" w14:textId="77777777" w:rsidR="00AD3720" w:rsidRDefault="00000000">
      <w:pPr>
        <w:pStyle w:val="BodyTextCustom"/>
      </w:pPr>
      <w:r>
        <w:t>Este caso se presenta de forma general y sin datos identificatorios. No pretende establecer una secuencia universal; cada proceso requiere una evaluación individual y un ritmo clínico propio.</w:t>
      </w:r>
    </w:p>
    <w:p w14:paraId="0175F8F3" w14:textId="77777777" w:rsidR="00AD3720" w:rsidRDefault="00000000">
      <w:pPr>
        <w:pStyle w:val="Ttulo1"/>
      </w:pPr>
      <w:r>
        <w:t>El vínculo terapéutico como experiencia reguladora</w:t>
      </w:r>
    </w:p>
    <w:p w14:paraId="25DC2977" w14:textId="77777777" w:rsidR="00AD3720" w:rsidRDefault="00000000">
      <w:pPr>
        <w:pStyle w:val="BodyTextCustom"/>
      </w:pPr>
      <w:r>
        <w:t>La relación terapéutica no es únicamente el escenario donde se aplican técnicas. Puede convertirse en una experiencia de regulación y aprendizaje relacional. La consistencia del encuadre, la capacidad de reparar malentendidos, la escucha sin juicio y la atención al ritmo de la persona ofrecen señales que el sistema nervioso puede registrar como diferentes de aquellas asociadas al abandono, la intrusión o la imprevisibilidad.</w:t>
      </w:r>
    </w:p>
    <w:p w14:paraId="0A2F9400" w14:textId="77777777" w:rsidR="00AD3720" w:rsidRDefault="00000000">
      <w:pPr>
        <w:pStyle w:val="BodyTextCustom"/>
      </w:pPr>
      <w:r>
        <w:t>Esto no significa que el terapeuta deba evitar toda incomodidad o confirmar cualquier interpretación. Una relación segura también puede contener límites, preguntas y confrontaciones. La diferencia está en que estas intervenciones no buscan someter ni avergonzar, sino ampliar la capacidad de la persona para pensar, sentir y permanecer en vínculo.</w:t>
      </w:r>
    </w:p>
    <w:p w14:paraId="5E4D73D7" w14:textId="77777777" w:rsidR="00AD3720" w:rsidRDefault="00000000">
      <w:pPr>
        <w:pStyle w:val="Ttulo1"/>
      </w:pPr>
      <w:r>
        <w:t>¿Qué busca una intervención integradora?</w:t>
      </w:r>
    </w:p>
    <w:p w14:paraId="5C61EB43" w14:textId="77777777" w:rsidR="00AD3720" w:rsidRDefault="00000000">
      <w:pPr>
        <w:pStyle w:val="BodyTextCustom"/>
      </w:pPr>
      <w:r>
        <w:t>Un abordaje que articula teoría polivagal y apego puede orientarse a que la persona:</w:t>
      </w:r>
    </w:p>
    <w:p w14:paraId="338B5E01" w14:textId="77777777" w:rsidR="00AD3720" w:rsidRDefault="00000000">
      <w:pPr>
        <w:pStyle w:val="ListBulletCustom"/>
      </w:pPr>
      <w:r>
        <w:t>reconozca con mayor precisión sus señales de activación y desconexión;</w:t>
      </w:r>
    </w:p>
    <w:p w14:paraId="04A21F17" w14:textId="77777777" w:rsidR="00AD3720" w:rsidRDefault="00000000">
      <w:pPr>
        <w:pStyle w:val="ListBulletCustom"/>
      </w:pPr>
      <w:r>
        <w:t>identifique qué situaciones relacionales son interpretadas como amenaza;</w:t>
      </w:r>
    </w:p>
    <w:p w14:paraId="5A8F56D9" w14:textId="77777777" w:rsidR="00AD3720" w:rsidRDefault="00000000">
      <w:pPr>
        <w:pStyle w:val="ListBulletCustom"/>
      </w:pPr>
      <w:r>
        <w:t>comprenda la función protectora de respuestas que antes juzgaba como fallas personales;</w:t>
      </w:r>
    </w:p>
    <w:p w14:paraId="4803A417" w14:textId="77777777" w:rsidR="00AD3720" w:rsidRDefault="00000000">
      <w:pPr>
        <w:pStyle w:val="ListBulletCustom"/>
      </w:pPr>
      <w:r>
        <w:t>desarrolle recursos para regresar al presente y recuperar estabilidad;</w:t>
      </w:r>
    </w:p>
    <w:p w14:paraId="4EBAD75A" w14:textId="77777777" w:rsidR="00AD3720" w:rsidRDefault="00000000">
      <w:pPr>
        <w:pStyle w:val="ListBulletCustom"/>
      </w:pPr>
      <w:r>
        <w:t>amplíe la capacidad de pedir ayuda y recibir co-regulación;</w:t>
      </w:r>
    </w:p>
    <w:p w14:paraId="70E47F18" w14:textId="77777777" w:rsidR="00AD3720" w:rsidRDefault="00000000">
      <w:pPr>
        <w:pStyle w:val="ListBulletCustom"/>
      </w:pPr>
      <w:r>
        <w:t>construya vínculos con mayor previsibilidad, límites y reciprocidad;</w:t>
      </w:r>
    </w:p>
    <w:p w14:paraId="08ECAF09" w14:textId="77777777" w:rsidR="00AD3720" w:rsidRDefault="00000000">
      <w:pPr>
        <w:pStyle w:val="ListBulletCustom"/>
      </w:pPr>
      <w:r>
        <w:t>resignifique experiencias adversas sin quedar definida exclusivamente por ellas.</w:t>
      </w:r>
    </w:p>
    <w:p w14:paraId="7B03B4B9" w14:textId="77777777" w:rsidR="00AD3720" w:rsidRDefault="00000000">
      <w:pPr>
        <w:pStyle w:val="BodyTextCustom"/>
      </w:pPr>
      <w:r>
        <w:t>El objetivo no es mantener a la persona permanentemente tranquila. Una vida emocional saludable incluye activación, tristeza, enojo, miedo y necesidad de protección. Lo que se busca es recuperar flexibilidad y capacidad de elección para que la respuesta del presente no quede gobernada por una amenaza del pasado.</w:t>
      </w:r>
    </w:p>
    <w:p w14:paraId="58390FD9" w14:textId="77777777" w:rsidR="00AD3720" w:rsidRDefault="00000000">
      <w:pPr>
        <w:pStyle w:val="Ttulo1"/>
      </w:pPr>
      <w:r>
        <w:lastRenderedPageBreak/>
        <w:t>De sobrevivir a sentirse suficientemente seguro</w:t>
      </w:r>
    </w:p>
    <w:p w14:paraId="2021CE3A" w14:textId="77777777" w:rsidR="00AD3720" w:rsidRDefault="00000000">
      <w:pPr>
        <w:pStyle w:val="BodyTextCustom"/>
      </w:pPr>
      <w:r>
        <w:t>La teoría polivagal y la teoría del apego ofrecen lenguajes complementarios para comprender una misma realidad: necesitamos del cuerpo y del vínculo para regularnos. Las experiencias adversas pueden enseñar al organismo a vivir en alerta o a desconectarse, pero estas respuestas no representan la totalidad de la persona ni constituyen un destino inmodificable.</w:t>
      </w:r>
    </w:p>
    <w:p w14:paraId="4BF14B1B" w14:textId="77777777" w:rsidR="00AD3720" w:rsidRDefault="00000000">
      <w:pPr>
        <w:pStyle w:val="BodyTextCustom"/>
      </w:pPr>
      <w:r>
        <w:t>Cuando la psicoterapia integra la lectura del sistema nervioso con la historia relacional, puede acompañar un proceso que va de la supervivencia automática hacia una experiencia más amplia de seguridad, conexión y sentido. Allí donde antes había una reacción incomprensible, puede aparecer comprensión. Donde había juicio, puede surgir curiosidad. Y donde el vínculo se vivía como amenaza, puede comenzar a construirse una posibilidad de reparación.</w:t>
      </w:r>
    </w:p>
    <w:tbl>
      <w:tblPr>
        <w:tblW w:w="0" w:type="auto"/>
        <w:jc w:val="center"/>
        <w:tblLayout w:type="fixed"/>
        <w:tblLook w:val="04A0" w:firstRow="1" w:lastRow="0" w:firstColumn="1" w:lastColumn="0" w:noHBand="0" w:noVBand="1"/>
      </w:tblPr>
      <w:tblGrid>
        <w:gridCol w:w="9878"/>
      </w:tblGrid>
      <w:tr w:rsidR="00AD3720" w14:paraId="2BB24AA2" w14:textId="77777777">
        <w:trPr>
          <w:cantSplit/>
          <w:jc w:val="center"/>
        </w:trPr>
        <w:tc>
          <w:tcPr>
            <w:tcW w:w="9878" w:type="dxa"/>
            <w:tcBorders>
              <w:top w:val="single" w:sz="6" w:space="0" w:color="DDCBD3"/>
              <w:left w:val="nil"/>
              <w:bottom w:val="single" w:sz="6" w:space="0" w:color="DDCBD3"/>
              <w:right w:val="nil"/>
            </w:tcBorders>
            <w:shd w:val="clear" w:color="auto" w:fill="F7F2F4"/>
            <w:tcMar>
              <w:top w:w="210" w:type="dxa"/>
              <w:left w:w="260" w:type="dxa"/>
              <w:bottom w:w="210" w:type="dxa"/>
              <w:right w:w="260" w:type="dxa"/>
            </w:tcMar>
          </w:tcPr>
          <w:p w14:paraId="02DB21F4" w14:textId="77777777" w:rsidR="00AD3720" w:rsidRDefault="00000000">
            <w:pPr>
              <w:spacing w:after="0"/>
              <w:jc w:val="center"/>
            </w:pPr>
            <w:r>
              <w:rPr>
                <w:i/>
                <w:color w:val="5B2D43"/>
                <w:sz w:val="24"/>
              </w:rPr>
              <w:t>“El sistema nervioso aprendió a sobrevivir en relación; también puede aprender nuevas posibilidades de seguridad en relación.”</w:t>
            </w:r>
          </w:p>
        </w:tc>
      </w:tr>
    </w:tbl>
    <w:p w14:paraId="71E5FD25" w14:textId="77777777" w:rsidR="00AD3720" w:rsidRDefault="00AD3720">
      <w:pPr>
        <w:spacing w:after="0"/>
      </w:pPr>
    </w:p>
    <w:p w14:paraId="1F2D728C" w14:textId="77777777" w:rsidR="00AD3720" w:rsidRDefault="00000000">
      <w:pPr>
        <w:pStyle w:val="Ttulo1"/>
      </w:pPr>
      <w:r>
        <w:t>Invitación a consulta</w:t>
      </w:r>
    </w:p>
    <w:p w14:paraId="2D903350" w14:textId="77777777" w:rsidR="00AD3720" w:rsidRDefault="00000000">
      <w:pPr>
        <w:pStyle w:val="BodyTextCustom"/>
      </w:pPr>
      <w:r>
        <w:t>Si notas que ante la cercanía, el conflicto o determinadas experiencias tu cuerpo entra con facilidad en alarma, bloqueo o desconexión, un proceso psicoterapéutico puede ayudarte a comprender qué intenta proteger esa respuesta y a desarrollar formas más flexibles de regulación y vínculo.</w:t>
      </w:r>
    </w:p>
    <w:p w14:paraId="64B1A3BF" w14:textId="77777777" w:rsidR="00AD3720" w:rsidRDefault="00000000">
      <w:pPr>
        <w:spacing w:after="40"/>
      </w:pPr>
      <w:r>
        <w:rPr>
          <w:rFonts w:ascii="Noto Sans" w:hAnsi="Noto Sans"/>
          <w:b/>
          <w:color w:val="5B2D43"/>
          <w:sz w:val="40"/>
        </w:rPr>
        <w:t>REFERENCIAS</w:t>
      </w:r>
    </w:p>
    <w:p w14:paraId="0DE3BAF2" w14:textId="77777777" w:rsidR="00AD3720" w:rsidRDefault="00000000">
      <w:pPr>
        <w:spacing w:after="240"/>
      </w:pPr>
      <w:r>
        <w:rPr>
          <w:i/>
          <w:color w:val="4F81BD"/>
          <w:sz w:val="23"/>
        </w:rPr>
        <w:t>Fuente teórica y material de base</w:t>
      </w:r>
    </w:p>
    <w:p w14:paraId="7487803F" w14:textId="77777777" w:rsidR="00AD3720" w:rsidRDefault="00000000">
      <w:pPr>
        <w:pStyle w:val="Reference"/>
      </w:pPr>
      <w:r>
        <w:t>Escalante Ruíz, N. F. (s. f.). Neurociencia y vínculo: una mirada conjunta desde la teoría polivagal y el apego [Material de divulgación clínica].</w:t>
      </w:r>
    </w:p>
    <w:p w14:paraId="0D4FE2C8" w14:textId="77777777" w:rsidR="00AD3720" w:rsidRDefault="00000000">
      <w:pPr>
        <w:pStyle w:val="Reference"/>
      </w:pPr>
      <w:r>
        <w:t>Porges, S. W. (2011). The polyvagal theory: Neurophysiological foundations of emotions, attachment, communication, and self-regulation. W. W. Norton &amp; Company.</w:t>
      </w:r>
    </w:p>
    <w:p w14:paraId="4CBBC9BA" w14:textId="77777777" w:rsidR="00AD3720" w:rsidRDefault="00000000">
      <w:pPr>
        <w:pStyle w:val="Ttulo2"/>
      </w:pPr>
      <w:r>
        <w:t>Material complementario para publicación</w:t>
      </w:r>
    </w:p>
    <w:p w14:paraId="5B36D1D0" w14:textId="77777777" w:rsidR="00AD3720" w:rsidRDefault="00000000">
      <w:pPr>
        <w:pStyle w:val="BodyTextCustom"/>
      </w:pPr>
      <w:r>
        <w:t>Texto alternativo sugerido para la imagen principal: “Dos personas conversan en un espacio terapéutico sereno; la composición representa seguridad, co-regulación y vínculo”.</w:t>
      </w:r>
    </w:p>
    <w:p w14:paraId="611C1252" w14:textId="77777777" w:rsidR="00AD3720" w:rsidRDefault="00000000">
      <w:pPr>
        <w:pStyle w:val="BodyTextCustom"/>
      </w:pPr>
      <w:r>
        <w:t>Enlaces internos sugeridos: “Apego y trauma intergeneracional”, “El cuerpo también recuerda: trauma y sistema nervioso”, “Cómo ayuda la psicoterapia en el trauma relacional” y “Ventana de tolerancia y regulación emocional”.</w:t>
      </w:r>
    </w:p>
    <w:p w14:paraId="0CF7B400" w14:textId="77777777" w:rsidR="00AD3720" w:rsidRDefault="00000000">
      <w:pPr>
        <w:pStyle w:val="BodyTextCustom"/>
      </w:pPr>
      <w:r>
        <w:t>Etiqueta de autor sugerida: Nancy Farah Escalante Ruíz · Psicóloga clínica, psicoterapeuta y consultora familiar · Trabajo clínico con trauma, apego y regulación emocional.</w:t>
      </w:r>
    </w:p>
    <w:p w14:paraId="15C1202C" w14:textId="77777777" w:rsidR="00AD3720" w:rsidRDefault="00000000">
      <w:pPr>
        <w:pStyle w:val="BodyTextCustom"/>
      </w:pPr>
      <w:r>
        <w:lastRenderedPageBreak/>
        <w:t>Imagen destacada sugerida: fotografía sobria de una interacción humana cálida, sin dramatización, con elementos visuales que transmitan presencia, escucha y seguridad.</w:t>
      </w:r>
    </w:p>
    <w:sectPr w:rsidR="00AD3720" w:rsidSect="00034616">
      <w:headerReference w:type="default" r:id="rId8"/>
      <w:footerReference w:type="default" r:id="rId9"/>
      <w:headerReference w:type="first" r:id="rId10"/>
      <w:footerReference w:type="first" r:id="rId11"/>
      <w:pgSz w:w="12240" w:h="15840"/>
      <w:pgMar w:top="1037" w:right="1181" w:bottom="979" w:left="1181"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F1C9C" w14:textId="77777777" w:rsidR="00F743EE" w:rsidRDefault="00F743EE">
      <w:pPr>
        <w:spacing w:after="0" w:line="240" w:lineRule="auto"/>
      </w:pPr>
      <w:r>
        <w:separator/>
      </w:r>
    </w:p>
  </w:endnote>
  <w:endnote w:type="continuationSeparator" w:id="0">
    <w:p w14:paraId="70112B38" w14:textId="77777777" w:rsidR="00F743EE" w:rsidRDefault="00F74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Noto Serif">
    <w:panose1 w:val="02020600060500020200"/>
    <w:charset w:val="00"/>
    <w:family w:val="roman"/>
    <w:pitch w:val="variable"/>
    <w:sig w:usb0="E00002FF" w:usb1="500078FF" w:usb2="00000029"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Noto Sans">
    <w:panose1 w:val="020B0502040504020204"/>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4723C" w14:textId="5815ECCB" w:rsidR="00AD3720" w:rsidRDefault="00000000">
    <w:pPr>
      <w:jc w:val="right"/>
    </w:pPr>
    <w:proofErr w:type="spellStart"/>
    <w:r>
      <w:rPr>
        <w:rFonts w:ascii="Noto Sans" w:hAnsi="Noto Sans"/>
        <w:color w:val="6A6A6A"/>
        <w:sz w:val="16"/>
      </w:rPr>
      <w:t>Artículo</w:t>
    </w:r>
    <w:proofErr w:type="spellEnd"/>
    <w:r>
      <w:rPr>
        <w:rFonts w:ascii="Noto Sans" w:hAnsi="Noto Sans"/>
        <w:color w:val="6A6A6A"/>
        <w:sz w:val="16"/>
      </w:rPr>
      <w:t xml:space="preserve"> </w:t>
    </w:r>
    <w:proofErr w:type="spellStart"/>
    <w:r>
      <w:rPr>
        <w:rFonts w:ascii="Noto Sans" w:hAnsi="Noto Sans"/>
        <w:color w:val="6A6A6A"/>
        <w:sz w:val="16"/>
      </w:rPr>
      <w:t>profesional</w:t>
    </w:r>
    <w:proofErr w:type="spellEnd"/>
    <w:r>
      <w:rPr>
        <w:rFonts w:ascii="Noto Sans" w:hAnsi="Noto Sans"/>
        <w:color w:val="6A6A6A"/>
        <w:sz w:val="16"/>
      </w:rPr>
      <w:t xml:space="preserve"> para </w:t>
    </w:r>
    <w:proofErr w:type="gramStart"/>
    <w:r>
      <w:rPr>
        <w:rFonts w:ascii="Noto Sans" w:hAnsi="Noto Sans"/>
        <w:color w:val="6A6A6A"/>
        <w:sz w:val="16"/>
      </w:rPr>
      <w:t>blog  |</w:t>
    </w:r>
    <w:proofErr w:type="gramEnd"/>
    <w:r>
      <w:rPr>
        <w:rFonts w:ascii="Noto Sans" w:hAnsi="Noto Sans"/>
        <w:color w:val="6A6A6A"/>
        <w:sz w:val="16"/>
      </w:rPr>
      <w:t xml:space="preserve">  </w:t>
    </w:r>
    <w:proofErr w:type="spellStart"/>
    <w:r>
      <w:rPr>
        <w:rFonts w:ascii="Noto Sans" w:hAnsi="Noto Sans"/>
        <w:color w:val="6A6A6A"/>
        <w:sz w:val="16"/>
      </w:rPr>
      <w:t>Neurociencia</w:t>
    </w:r>
    <w:proofErr w:type="spellEnd"/>
    <w:r>
      <w:rPr>
        <w:rFonts w:ascii="Noto Sans" w:hAnsi="Noto Sans"/>
        <w:color w:val="6A6A6A"/>
        <w:sz w:val="16"/>
      </w:rPr>
      <w:t xml:space="preserve"> y </w:t>
    </w:r>
    <w:proofErr w:type="spellStart"/>
    <w:r>
      <w:rPr>
        <w:rFonts w:ascii="Noto Sans" w:hAnsi="Noto Sans"/>
        <w:color w:val="6A6A6A"/>
        <w:sz w:val="16"/>
      </w:rPr>
      <w:t>vínculo</w:t>
    </w:r>
    <w:proofErr w:type="spellEnd"/>
    <w:r>
      <w:rPr>
        <w:rFonts w:ascii="Noto Sans" w:hAnsi="Noto Sans"/>
        <w:color w:val="6A6A6A"/>
        <w:sz w:val="16"/>
      </w:rPr>
      <w:t xml:space="preserve">    |    Página </w:t>
    </w:r>
    <w:r>
      <w:rPr>
        <w:rFonts w:ascii="Noto Sans" w:hAnsi="Noto Sans"/>
        <w:color w:val="6A6A6A"/>
        <w:sz w:val="16"/>
      </w:rPr>
      <w:fldChar w:fldCharType="begin"/>
    </w:r>
    <w:r>
      <w:rPr>
        <w:rFonts w:ascii="Noto Sans" w:hAnsi="Noto Sans"/>
        <w:color w:val="6A6A6A"/>
        <w:sz w:val="16"/>
      </w:rPr>
      <w:instrText xml:space="preserve"> PAGE </w:instrText>
    </w:r>
    <w:r w:rsidR="008060F6">
      <w:rPr>
        <w:rFonts w:ascii="Noto Sans" w:hAnsi="Noto Sans"/>
        <w:color w:val="6A6A6A"/>
        <w:sz w:val="16"/>
      </w:rPr>
      <w:fldChar w:fldCharType="separate"/>
    </w:r>
    <w:r w:rsidR="008060F6">
      <w:rPr>
        <w:rFonts w:ascii="Noto Sans" w:hAnsi="Noto Sans"/>
        <w:noProof/>
        <w:color w:val="6A6A6A"/>
        <w:sz w:val="16"/>
      </w:rPr>
      <w:t>2</w:t>
    </w:r>
    <w:r>
      <w:rPr>
        <w:rFonts w:ascii="Noto Sans" w:hAnsi="Noto Sans"/>
        <w:color w:val="6A6A6A"/>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24FBF" w14:textId="77777777" w:rsidR="00AD3720" w:rsidRDefault="00000000">
    <w:pPr>
      <w:jc w:val="center"/>
    </w:pPr>
    <w:proofErr w:type="spellStart"/>
    <w:r>
      <w:rPr>
        <w:rFonts w:ascii="Noto Sans" w:hAnsi="Noto Sans"/>
        <w:color w:val="6A6A6A"/>
        <w:sz w:val="16"/>
      </w:rPr>
      <w:t>Artículo</w:t>
    </w:r>
    <w:proofErr w:type="spellEnd"/>
    <w:r>
      <w:rPr>
        <w:rFonts w:ascii="Noto Sans" w:hAnsi="Noto Sans"/>
        <w:color w:val="6A6A6A"/>
        <w:sz w:val="16"/>
      </w:rPr>
      <w:t xml:space="preserve"> </w:t>
    </w:r>
    <w:proofErr w:type="spellStart"/>
    <w:r>
      <w:rPr>
        <w:rFonts w:ascii="Noto Sans" w:hAnsi="Noto Sans"/>
        <w:color w:val="6A6A6A"/>
        <w:sz w:val="16"/>
      </w:rPr>
      <w:t>profesional</w:t>
    </w:r>
    <w:proofErr w:type="spellEnd"/>
    <w:r>
      <w:rPr>
        <w:rFonts w:ascii="Noto Sans" w:hAnsi="Noto Sans"/>
        <w:color w:val="6A6A6A"/>
        <w:sz w:val="16"/>
      </w:rPr>
      <w:t xml:space="preserve"> para </w:t>
    </w:r>
    <w:proofErr w:type="spellStart"/>
    <w:r>
      <w:rPr>
        <w:rFonts w:ascii="Noto Sans" w:hAnsi="Noto Sans"/>
        <w:color w:val="6A6A6A"/>
        <w:sz w:val="16"/>
      </w:rPr>
      <w:t>página</w:t>
    </w:r>
    <w:proofErr w:type="spellEnd"/>
    <w:r>
      <w:rPr>
        <w:rFonts w:ascii="Noto Sans" w:hAnsi="Noto Sans"/>
        <w:color w:val="6A6A6A"/>
        <w:sz w:val="16"/>
      </w:rPr>
      <w:t xml:space="preserve"> web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9D5B9" w14:textId="77777777" w:rsidR="00F743EE" w:rsidRDefault="00F743EE">
      <w:pPr>
        <w:spacing w:after="0" w:line="240" w:lineRule="auto"/>
      </w:pPr>
      <w:r>
        <w:separator/>
      </w:r>
    </w:p>
  </w:footnote>
  <w:footnote w:type="continuationSeparator" w:id="0">
    <w:p w14:paraId="671C59E2" w14:textId="77777777" w:rsidR="00F743EE" w:rsidRDefault="00F743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FD928" w14:textId="77777777" w:rsidR="00AD3720" w:rsidRDefault="00000000">
    <w:pPr>
      <w:pBdr>
        <w:bottom w:val="single" w:sz="6" w:space="5" w:color="D6E4E2"/>
      </w:pBdr>
      <w:jc w:val="right"/>
    </w:pPr>
    <w:r>
      <w:rPr>
        <w:rFonts w:ascii="Noto Sans" w:hAnsi="Noto Sans"/>
        <w:b/>
        <w:color w:val="315C5B"/>
        <w:sz w:val="16"/>
      </w:rPr>
      <w:t xml:space="preserve">NANCY FARAH ESCALANTE </w:t>
    </w:r>
    <w:proofErr w:type="gramStart"/>
    <w:r>
      <w:rPr>
        <w:rFonts w:ascii="Noto Sans" w:hAnsi="Noto Sans"/>
        <w:b/>
        <w:color w:val="315C5B"/>
        <w:sz w:val="16"/>
      </w:rPr>
      <w:t>RUÍZ  ·</w:t>
    </w:r>
    <w:proofErr w:type="gramEnd"/>
    <w:r>
      <w:rPr>
        <w:rFonts w:ascii="Noto Sans" w:hAnsi="Noto Sans"/>
        <w:b/>
        <w:color w:val="315C5B"/>
        <w:sz w:val="16"/>
      </w:rPr>
      <w:t xml:space="preserve">  PSICOLOGÍA CLÍNICA Y PSICOTERAPIA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0B37B"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09023860">
    <w:abstractNumId w:val="8"/>
  </w:num>
  <w:num w:numId="2" w16cid:durableId="1828981145">
    <w:abstractNumId w:val="6"/>
  </w:num>
  <w:num w:numId="3" w16cid:durableId="985427247">
    <w:abstractNumId w:val="5"/>
  </w:num>
  <w:num w:numId="4" w16cid:durableId="1296987001">
    <w:abstractNumId w:val="4"/>
  </w:num>
  <w:num w:numId="5" w16cid:durableId="2135439985">
    <w:abstractNumId w:val="7"/>
  </w:num>
  <w:num w:numId="6" w16cid:durableId="545681635">
    <w:abstractNumId w:val="3"/>
  </w:num>
  <w:num w:numId="7" w16cid:durableId="46102855">
    <w:abstractNumId w:val="2"/>
  </w:num>
  <w:num w:numId="8" w16cid:durableId="1351487024">
    <w:abstractNumId w:val="1"/>
  </w:num>
  <w:num w:numId="9" w16cid:durableId="957418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5EC"/>
    <w:rsid w:val="0015074B"/>
    <w:rsid w:val="0029639D"/>
    <w:rsid w:val="00326F90"/>
    <w:rsid w:val="008060F6"/>
    <w:rsid w:val="00AA1D8D"/>
    <w:rsid w:val="00AD3720"/>
    <w:rsid w:val="00B47730"/>
    <w:rsid w:val="00CB0664"/>
    <w:rsid w:val="00F743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8AB35"/>
  <w14:defaultImageDpi w14:val="300"/>
  <w15:docId w15:val="{E945769B-21EB-DC43-811C-9597F0B19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Noto Serif" w:eastAsia="Noto Serif" w:hAnsi="Noto Serif"/>
      <w:color w:val="2B2B2B"/>
      <w:sz w:val="21"/>
    </w:rPr>
  </w:style>
  <w:style w:type="paragraph" w:styleId="Ttulo1">
    <w:name w:val="heading 1"/>
    <w:basedOn w:val="Normal"/>
    <w:next w:val="Normal"/>
    <w:link w:val="Ttulo1Car"/>
    <w:uiPriority w:val="9"/>
    <w:qFormat/>
    <w:rsid w:val="00FC693F"/>
    <w:pPr>
      <w:keepNext/>
      <w:keepLines/>
      <w:spacing w:before="320" w:after="140"/>
      <w:outlineLvl w:val="0"/>
    </w:pPr>
    <w:rPr>
      <w:rFonts w:asciiTheme="majorHAnsi" w:eastAsiaTheme="majorEastAsia" w:hAnsiTheme="majorHAnsi" w:cstheme="majorBidi"/>
      <w:b/>
      <w:bCs/>
      <w:color w:val="5B2D43"/>
      <w:sz w:val="36"/>
      <w:szCs w:val="28"/>
    </w:rPr>
  </w:style>
  <w:style w:type="paragraph" w:styleId="Ttulo2">
    <w:name w:val="heading 2"/>
    <w:basedOn w:val="Normal"/>
    <w:next w:val="Normal"/>
    <w:link w:val="Ttulo2Car"/>
    <w:uiPriority w:val="9"/>
    <w:unhideWhenUsed/>
    <w:qFormat/>
    <w:rsid w:val="00FC693F"/>
    <w:pPr>
      <w:keepNext/>
      <w:keepLines/>
      <w:spacing w:before="240" w:after="100"/>
      <w:outlineLvl w:val="1"/>
    </w:pPr>
    <w:rPr>
      <w:rFonts w:asciiTheme="majorHAnsi" w:eastAsiaTheme="majorEastAsia" w:hAnsiTheme="majorHAnsi" w:cstheme="majorBidi"/>
      <w:b/>
      <w:bCs/>
      <w:color w:val="315C5B"/>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 Text Custom"/>
    <w:pPr>
      <w:spacing w:after="140"/>
      <w:jc w:val="both"/>
    </w:pPr>
    <w:rPr>
      <w:rFonts w:ascii="Noto Serif" w:eastAsia="Noto Serif" w:hAnsi="Noto Serif"/>
      <w:color w:val="2B2B2B"/>
      <w:sz w:val="21"/>
    </w:rPr>
  </w:style>
  <w:style w:type="paragraph" w:customStyle="1" w:styleId="Lead">
    <w:name w:val="Lead"/>
    <w:pPr>
      <w:spacing w:after="240" w:line="283" w:lineRule="auto"/>
    </w:pPr>
    <w:rPr>
      <w:rFonts w:ascii="Noto Serif" w:eastAsia="Noto Serif" w:hAnsi="Noto Serif"/>
      <w:color w:val="5B2D43"/>
      <w:sz w:val="24"/>
    </w:rPr>
  </w:style>
  <w:style w:type="paragraph" w:customStyle="1" w:styleId="ListBulletCustom">
    <w:name w:val="List Bullet Custom"/>
    <w:basedOn w:val="Listaconvietas"/>
    <w:pPr>
      <w:spacing w:after="60" w:line="264" w:lineRule="auto"/>
    </w:pPr>
  </w:style>
  <w:style w:type="paragraph" w:customStyle="1" w:styleId="ListNumberCustom">
    <w:name w:val="List Number Custom"/>
    <w:basedOn w:val="Listaconnmeros"/>
    <w:pPr>
      <w:spacing w:after="60" w:line="264" w:lineRule="auto"/>
    </w:pPr>
  </w:style>
  <w:style w:type="paragraph" w:customStyle="1" w:styleId="Reference">
    <w:name w:val="Reference"/>
    <w:pPr>
      <w:spacing w:line="240" w:lineRule="auto"/>
    </w:pPr>
    <w:rPr>
      <w:rFonts w:ascii="Noto Serif" w:hAnsi="Noto Serif"/>
      <w:color w:val="2B2B2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2560</Words>
  <Characters>14081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Neurociencia y vínculo: una mirada conjunta desde la teoría polivagal y el apego</dc:title>
  <dc:subject>Artículo profesional para página web sobre teoría polivagal, apego, regulación emocional y vínculo terapéutico.</dc:subject>
  <dc:creator>Nancy Farah Escalante Ruíz</dc:creator>
  <cp:keywords>teoría polivagal, apego, regulación emocional, sistema nervioso autónomo, trauma, vínculo terapéutico, psicoterapia</cp:keywords>
  <dc:description>Versión editorial preparada para publicación web.</dc:description>
  <cp:lastModifiedBy>Nancy Escalante Ruiz</cp:lastModifiedBy>
  <cp:revision>2</cp:revision>
  <dcterms:created xsi:type="dcterms:W3CDTF">2026-09-19T19:46:00Z</dcterms:created>
  <dcterms:modified xsi:type="dcterms:W3CDTF">2026-09-19T19:46:00Z</dcterms:modified>
  <cp:category/>
</cp:coreProperties>
</file>