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6E31" w14:textId="77777777" w:rsidR="00867B03" w:rsidRDefault="00000000">
      <w:pPr>
        <w:spacing w:before="600"/>
      </w:pPr>
      <w:r>
        <w:rPr>
          <w:rFonts w:ascii="Noto Sans" w:hAnsi="Noto Sans"/>
          <w:b/>
          <w:color w:val="B77B8F"/>
          <w:sz w:val="20"/>
        </w:rPr>
        <w:t>ARTÍCULO PARA BLOG</w:t>
      </w:r>
    </w:p>
    <w:p w14:paraId="6C4D2072" w14:textId="77777777" w:rsidR="00867B03" w:rsidRDefault="00000000">
      <w:pPr>
        <w:spacing w:before="160" w:after="280"/>
      </w:pPr>
      <w:r>
        <w:rPr>
          <w:rFonts w:ascii="Noto Sans" w:hAnsi="Noto Sans"/>
          <w:b/>
          <w:color w:val="5B2D43"/>
          <w:sz w:val="58"/>
        </w:rPr>
        <w:t>Trastornos de la conducta alimentaria</w:t>
      </w:r>
      <w:r>
        <w:rPr>
          <w:rFonts w:ascii="Noto Sans" w:hAnsi="Noto Sans"/>
          <w:b/>
          <w:color w:val="5B2D43"/>
          <w:sz w:val="58"/>
        </w:rPr>
        <w:br/>
        <w:t>en la era digital</w:t>
      </w:r>
    </w:p>
    <w:p w14:paraId="65E29CAA" w14:textId="77777777" w:rsidR="00867B03" w:rsidRDefault="00000000">
      <w:pPr>
        <w:spacing w:after="240"/>
      </w:pPr>
      <w:r>
        <w:rPr>
          <w:i/>
          <w:color w:val="315C5B"/>
          <w:sz w:val="30"/>
        </w:rPr>
        <w:t>Redes sociales, cultura de la imagen y cuerpo como escenario del vacío</w:t>
      </w:r>
    </w:p>
    <w:p w14:paraId="41A10B23" w14:textId="77777777" w:rsidR="00867B03" w:rsidRDefault="00867B03">
      <w:pPr>
        <w:pBdr>
          <w:bottom w:val="single" w:sz="18" w:space="0" w:color="B77B8F"/>
        </w:pBdr>
        <w:spacing w:after="280"/>
      </w:pPr>
    </w:p>
    <w:tbl>
      <w:tblPr>
        <w:tblW w:w="0" w:type="auto"/>
        <w:jc w:val="center"/>
        <w:tblLayout w:type="fixed"/>
        <w:tblLook w:val="04A0" w:firstRow="1" w:lastRow="0" w:firstColumn="1" w:lastColumn="0" w:noHBand="0" w:noVBand="1"/>
      </w:tblPr>
      <w:tblGrid>
        <w:gridCol w:w="9878"/>
      </w:tblGrid>
      <w:tr w:rsidR="00867B03" w14:paraId="390500D1" w14:textId="77777777">
        <w:trPr>
          <w:cantSplit/>
          <w:jc w:val="center"/>
        </w:trPr>
        <w:tc>
          <w:tcPr>
            <w:tcW w:w="9878" w:type="dxa"/>
            <w:tcBorders>
              <w:top w:val="nil"/>
              <w:left w:val="single" w:sz="18" w:space="0" w:color="315C5B"/>
              <w:bottom w:val="nil"/>
              <w:right w:val="nil"/>
            </w:tcBorders>
            <w:shd w:val="clear" w:color="auto" w:fill="EAF2F1"/>
            <w:tcMar>
              <w:top w:w="150" w:type="dxa"/>
              <w:left w:w="200" w:type="dxa"/>
              <w:bottom w:w="150" w:type="dxa"/>
              <w:right w:w="200" w:type="dxa"/>
            </w:tcMar>
            <w:vAlign w:val="center"/>
          </w:tcPr>
          <w:p w14:paraId="5A350E56" w14:textId="77777777" w:rsidR="00867B03" w:rsidRDefault="00000000">
            <w:pPr>
              <w:spacing w:after="100"/>
            </w:pPr>
            <w:r>
              <w:rPr>
                <w:rFonts w:ascii="Noto Sans" w:hAnsi="Noto Sans"/>
                <w:b/>
                <w:color w:val="315C5B"/>
                <w:sz w:val="22"/>
              </w:rPr>
              <w:t>Una lectura clínica, psicoanalítica y preventiva</w:t>
            </w:r>
          </w:p>
          <w:p w14:paraId="4073E42A" w14:textId="77777777" w:rsidR="00867B03" w:rsidRDefault="00000000">
            <w:pPr>
              <w:spacing w:after="60"/>
            </w:pPr>
            <w:r>
              <w:rPr>
                <w:sz w:val="20"/>
              </w:rPr>
              <w:t>Versión ampliada para publicación web. Integra el planteamiento original de la autora con evidencia reciente sobre comparación social en línea, imagen corporal y síntomas alimentarios.</w:t>
            </w:r>
          </w:p>
        </w:tc>
      </w:tr>
    </w:tbl>
    <w:p w14:paraId="0FFD1870" w14:textId="77777777" w:rsidR="00867B03" w:rsidRDefault="00867B03">
      <w:pPr>
        <w:spacing w:after="0"/>
      </w:pPr>
    </w:p>
    <w:p w14:paraId="7B9F313D" w14:textId="77777777" w:rsidR="00867B03" w:rsidRDefault="00000000">
      <w:pPr>
        <w:spacing w:before="440"/>
      </w:pPr>
      <w:r>
        <w:rPr>
          <w:rFonts w:ascii="Noto Sans" w:hAnsi="Noto Sans"/>
          <w:b/>
          <w:sz w:val="28"/>
        </w:rPr>
        <w:t>Nancy Farah Escalante Ruíz</w:t>
      </w:r>
    </w:p>
    <w:p w14:paraId="2530E5FA" w14:textId="77777777" w:rsidR="00867B03" w:rsidRDefault="00000000">
      <w:r>
        <w:rPr>
          <w:i/>
          <w:color w:val="666666"/>
          <w:sz w:val="22"/>
        </w:rPr>
        <w:t>Psicóloga clínica y psicoterapeuta</w:t>
      </w:r>
    </w:p>
    <w:p w14:paraId="5FF36230" w14:textId="77777777" w:rsidR="00867B03" w:rsidRDefault="00000000">
      <w:pPr>
        <w:spacing w:before="600"/>
      </w:pPr>
      <w:r>
        <w:rPr>
          <w:rFonts w:ascii="Noto Sans" w:hAnsi="Noto Sans"/>
          <w:color w:val="666666"/>
          <w:sz w:val="18"/>
        </w:rPr>
        <w:t>Versión editorial · septiembre de 2026</w:t>
      </w:r>
    </w:p>
    <w:p w14:paraId="170AB863" w14:textId="77777777" w:rsidR="00867B03" w:rsidRDefault="00000000">
      <w:r>
        <w:br w:type="page"/>
      </w:r>
    </w:p>
    <w:p w14:paraId="1150657D" w14:textId="77777777" w:rsidR="00867B03" w:rsidRDefault="00000000">
      <w:r>
        <w:rPr>
          <w:rFonts w:ascii="Noto Sans" w:hAnsi="Noto Sans"/>
          <w:b/>
          <w:color w:val="B77B8F"/>
          <w:sz w:val="20"/>
        </w:rPr>
        <w:lastRenderedPageBreak/>
        <w:t>FICHA EDITORIAL Y SEO</w:t>
      </w:r>
    </w:p>
    <w:p w14:paraId="545236BD" w14:textId="77777777" w:rsidR="00867B03" w:rsidRDefault="00000000">
      <w:pPr>
        <w:spacing w:after="240"/>
      </w:pPr>
      <w:r>
        <w:rPr>
          <w:rFonts w:ascii="Noto Sans" w:hAnsi="Noto Sans"/>
          <w:b/>
          <w:color w:val="5B2D43"/>
          <w:sz w:val="42"/>
        </w:rPr>
        <w:t>Preparación para página web</w:t>
      </w:r>
    </w:p>
    <w:tbl>
      <w:tblPr>
        <w:tblW w:w="0" w:type="auto"/>
        <w:jc w:val="center"/>
        <w:tblLayout w:type="fixed"/>
        <w:tblLook w:val="04A0" w:firstRow="1" w:lastRow="0" w:firstColumn="1" w:lastColumn="0" w:noHBand="0" w:noVBand="1"/>
      </w:tblPr>
      <w:tblGrid>
        <w:gridCol w:w="2520"/>
        <w:gridCol w:w="6408"/>
      </w:tblGrid>
      <w:tr w:rsidR="00867B03" w14:paraId="7EB5C0E0" w14:textId="77777777">
        <w:trPr>
          <w:cantSplit/>
          <w:jc w:val="center"/>
        </w:trPr>
        <w:tc>
          <w:tcPr>
            <w:tcW w:w="2520" w:type="dxa"/>
            <w:tcBorders>
              <w:top w:val="single" w:sz="4" w:space="0" w:color="E5E1E3"/>
              <w:left w:val="single" w:sz="4" w:space="0" w:color="E5E1E3"/>
              <w:bottom w:val="single" w:sz="4" w:space="0" w:color="E5E1E3"/>
              <w:right w:val="single" w:sz="4" w:space="0" w:color="E5E1E3"/>
            </w:tcBorders>
            <w:shd w:val="clear" w:color="auto" w:fill="F6EEF1"/>
            <w:tcMar>
              <w:top w:w="90" w:type="dxa"/>
              <w:left w:w="120" w:type="dxa"/>
              <w:bottom w:w="90" w:type="dxa"/>
              <w:right w:w="120" w:type="dxa"/>
            </w:tcMar>
          </w:tcPr>
          <w:p w14:paraId="710AD1B1" w14:textId="77777777" w:rsidR="00867B03" w:rsidRDefault="00000000">
            <w:r>
              <w:rPr>
                <w:rFonts w:ascii="Noto Sans" w:hAnsi="Noto Sans"/>
                <w:b/>
                <w:color w:val="5B2D43"/>
                <w:sz w:val="19"/>
              </w:rPr>
              <w:t>Título SEO</w:t>
            </w:r>
          </w:p>
        </w:tc>
        <w:tc>
          <w:tcPr>
            <w:tcW w:w="6408" w:type="dxa"/>
            <w:tcBorders>
              <w:top w:val="single" w:sz="4" w:space="0" w:color="E5E1E3"/>
              <w:left w:val="single" w:sz="4" w:space="0" w:color="E5E1E3"/>
              <w:bottom w:val="single" w:sz="4" w:space="0" w:color="E5E1E3"/>
              <w:right w:val="single" w:sz="4" w:space="0" w:color="E5E1E3"/>
            </w:tcBorders>
            <w:shd w:val="clear" w:color="auto" w:fill="FFFFFF"/>
            <w:tcMar>
              <w:top w:w="90" w:type="dxa"/>
              <w:left w:w="120" w:type="dxa"/>
              <w:bottom w:w="90" w:type="dxa"/>
              <w:right w:w="120" w:type="dxa"/>
            </w:tcMar>
          </w:tcPr>
          <w:p w14:paraId="471B55C2" w14:textId="77777777" w:rsidR="00867B03" w:rsidRDefault="00000000">
            <w:r>
              <w:rPr>
                <w:sz w:val="19"/>
              </w:rPr>
              <w:t>TCA y redes sociales: imagen corporal, vacío emocional y prevención</w:t>
            </w:r>
          </w:p>
        </w:tc>
      </w:tr>
      <w:tr w:rsidR="00867B03" w14:paraId="3A688486" w14:textId="77777777">
        <w:trPr>
          <w:cantSplit/>
          <w:jc w:val="center"/>
        </w:trPr>
        <w:tc>
          <w:tcPr>
            <w:tcW w:w="2520" w:type="dxa"/>
            <w:tcBorders>
              <w:top w:val="single" w:sz="4" w:space="0" w:color="E5E1E3"/>
              <w:left w:val="single" w:sz="4" w:space="0" w:color="E5E1E3"/>
              <w:bottom w:val="single" w:sz="4" w:space="0" w:color="E5E1E3"/>
              <w:right w:val="single" w:sz="4" w:space="0" w:color="E5E1E3"/>
            </w:tcBorders>
            <w:shd w:val="clear" w:color="auto" w:fill="F6EEF1"/>
            <w:tcMar>
              <w:top w:w="90" w:type="dxa"/>
              <w:left w:w="120" w:type="dxa"/>
              <w:bottom w:w="90" w:type="dxa"/>
              <w:right w:w="120" w:type="dxa"/>
            </w:tcMar>
          </w:tcPr>
          <w:p w14:paraId="1DB54391" w14:textId="77777777" w:rsidR="00867B03" w:rsidRDefault="00000000">
            <w:r>
              <w:rPr>
                <w:rFonts w:ascii="Noto Sans" w:hAnsi="Noto Sans"/>
                <w:b/>
                <w:color w:val="5B2D43"/>
                <w:sz w:val="19"/>
              </w:rPr>
              <w:t>Slug sugerido</w:t>
            </w:r>
          </w:p>
        </w:tc>
        <w:tc>
          <w:tcPr>
            <w:tcW w:w="6408" w:type="dxa"/>
            <w:tcBorders>
              <w:top w:val="single" w:sz="4" w:space="0" w:color="E5E1E3"/>
              <w:left w:val="single" w:sz="4" w:space="0" w:color="E5E1E3"/>
              <w:bottom w:val="single" w:sz="4" w:space="0" w:color="E5E1E3"/>
              <w:right w:val="single" w:sz="4" w:space="0" w:color="E5E1E3"/>
            </w:tcBorders>
            <w:shd w:val="clear" w:color="auto" w:fill="FFFFFF"/>
            <w:tcMar>
              <w:top w:w="90" w:type="dxa"/>
              <w:left w:w="120" w:type="dxa"/>
              <w:bottom w:w="90" w:type="dxa"/>
              <w:right w:w="120" w:type="dxa"/>
            </w:tcMar>
          </w:tcPr>
          <w:p w14:paraId="4DEDE49F" w14:textId="77777777" w:rsidR="00867B03" w:rsidRDefault="00000000">
            <w:r>
              <w:rPr>
                <w:sz w:val="19"/>
              </w:rPr>
              <w:t>/tca-redes-sociales-imagen-corporal-vacio-emocional</w:t>
            </w:r>
          </w:p>
        </w:tc>
      </w:tr>
      <w:tr w:rsidR="00867B03" w14:paraId="2A064B84" w14:textId="77777777">
        <w:trPr>
          <w:cantSplit/>
          <w:jc w:val="center"/>
        </w:trPr>
        <w:tc>
          <w:tcPr>
            <w:tcW w:w="2520" w:type="dxa"/>
            <w:tcBorders>
              <w:top w:val="single" w:sz="4" w:space="0" w:color="E5E1E3"/>
              <w:left w:val="single" w:sz="4" w:space="0" w:color="E5E1E3"/>
              <w:bottom w:val="single" w:sz="4" w:space="0" w:color="E5E1E3"/>
              <w:right w:val="single" w:sz="4" w:space="0" w:color="E5E1E3"/>
            </w:tcBorders>
            <w:shd w:val="clear" w:color="auto" w:fill="F6EEF1"/>
            <w:tcMar>
              <w:top w:w="90" w:type="dxa"/>
              <w:left w:w="120" w:type="dxa"/>
              <w:bottom w:w="90" w:type="dxa"/>
              <w:right w:w="120" w:type="dxa"/>
            </w:tcMar>
          </w:tcPr>
          <w:p w14:paraId="56B0DD93" w14:textId="77777777" w:rsidR="00867B03" w:rsidRDefault="00000000">
            <w:r>
              <w:rPr>
                <w:rFonts w:ascii="Noto Sans" w:hAnsi="Noto Sans"/>
                <w:b/>
                <w:color w:val="5B2D43"/>
                <w:sz w:val="19"/>
              </w:rPr>
              <w:t>Metadescripción</w:t>
            </w:r>
          </w:p>
        </w:tc>
        <w:tc>
          <w:tcPr>
            <w:tcW w:w="6408" w:type="dxa"/>
            <w:tcBorders>
              <w:top w:val="single" w:sz="4" w:space="0" w:color="E5E1E3"/>
              <w:left w:val="single" w:sz="4" w:space="0" w:color="E5E1E3"/>
              <w:bottom w:val="single" w:sz="4" w:space="0" w:color="E5E1E3"/>
              <w:right w:val="single" w:sz="4" w:space="0" w:color="E5E1E3"/>
            </w:tcBorders>
            <w:shd w:val="clear" w:color="auto" w:fill="FFFFFF"/>
            <w:tcMar>
              <w:top w:w="90" w:type="dxa"/>
              <w:left w:w="120" w:type="dxa"/>
              <w:bottom w:w="90" w:type="dxa"/>
              <w:right w:w="120" w:type="dxa"/>
            </w:tcMar>
          </w:tcPr>
          <w:p w14:paraId="5A312286" w14:textId="77777777" w:rsidR="00867B03" w:rsidRDefault="00000000">
            <w:r>
              <w:rPr>
                <w:sz w:val="19"/>
              </w:rPr>
              <w:t>Las redes sociales no causan por sí solas un TCA, pero pueden intensificar comparación, insatisfacción corporal y control. Claves clínicas y preventivas.</w:t>
            </w:r>
          </w:p>
        </w:tc>
      </w:tr>
      <w:tr w:rsidR="00867B03" w14:paraId="16801650" w14:textId="77777777">
        <w:trPr>
          <w:cantSplit/>
          <w:jc w:val="center"/>
        </w:trPr>
        <w:tc>
          <w:tcPr>
            <w:tcW w:w="2520" w:type="dxa"/>
            <w:tcBorders>
              <w:top w:val="single" w:sz="4" w:space="0" w:color="E5E1E3"/>
              <w:left w:val="single" w:sz="4" w:space="0" w:color="E5E1E3"/>
              <w:bottom w:val="single" w:sz="4" w:space="0" w:color="E5E1E3"/>
              <w:right w:val="single" w:sz="4" w:space="0" w:color="E5E1E3"/>
            </w:tcBorders>
            <w:shd w:val="clear" w:color="auto" w:fill="F6EEF1"/>
            <w:tcMar>
              <w:top w:w="90" w:type="dxa"/>
              <w:left w:w="120" w:type="dxa"/>
              <w:bottom w:w="90" w:type="dxa"/>
              <w:right w:w="120" w:type="dxa"/>
            </w:tcMar>
          </w:tcPr>
          <w:p w14:paraId="4E8BE2D1" w14:textId="77777777" w:rsidR="00867B03" w:rsidRDefault="00000000">
            <w:r>
              <w:rPr>
                <w:rFonts w:ascii="Noto Sans" w:hAnsi="Noto Sans"/>
                <w:b/>
                <w:color w:val="5B2D43"/>
                <w:sz w:val="19"/>
              </w:rPr>
              <w:t>Frase clave</w:t>
            </w:r>
          </w:p>
        </w:tc>
        <w:tc>
          <w:tcPr>
            <w:tcW w:w="6408" w:type="dxa"/>
            <w:tcBorders>
              <w:top w:val="single" w:sz="4" w:space="0" w:color="E5E1E3"/>
              <w:left w:val="single" w:sz="4" w:space="0" w:color="E5E1E3"/>
              <w:bottom w:val="single" w:sz="4" w:space="0" w:color="E5E1E3"/>
              <w:right w:val="single" w:sz="4" w:space="0" w:color="E5E1E3"/>
            </w:tcBorders>
            <w:shd w:val="clear" w:color="auto" w:fill="FFFFFF"/>
            <w:tcMar>
              <w:top w:w="90" w:type="dxa"/>
              <w:left w:w="120" w:type="dxa"/>
              <w:bottom w:w="90" w:type="dxa"/>
              <w:right w:w="120" w:type="dxa"/>
            </w:tcMar>
          </w:tcPr>
          <w:p w14:paraId="678939ED" w14:textId="77777777" w:rsidR="00867B03" w:rsidRDefault="00000000">
            <w:r>
              <w:rPr>
                <w:sz w:val="19"/>
              </w:rPr>
              <w:t>trastornos de la conducta alimentaria y redes sociales</w:t>
            </w:r>
          </w:p>
        </w:tc>
      </w:tr>
      <w:tr w:rsidR="00867B03" w14:paraId="45B33369" w14:textId="77777777">
        <w:trPr>
          <w:cantSplit/>
          <w:jc w:val="center"/>
        </w:trPr>
        <w:tc>
          <w:tcPr>
            <w:tcW w:w="2520" w:type="dxa"/>
            <w:tcBorders>
              <w:top w:val="single" w:sz="4" w:space="0" w:color="E5E1E3"/>
              <w:left w:val="single" w:sz="4" w:space="0" w:color="E5E1E3"/>
              <w:bottom w:val="single" w:sz="4" w:space="0" w:color="E5E1E3"/>
              <w:right w:val="single" w:sz="4" w:space="0" w:color="E5E1E3"/>
            </w:tcBorders>
            <w:shd w:val="clear" w:color="auto" w:fill="F6EEF1"/>
            <w:tcMar>
              <w:top w:w="90" w:type="dxa"/>
              <w:left w:w="120" w:type="dxa"/>
              <w:bottom w:w="90" w:type="dxa"/>
              <w:right w:w="120" w:type="dxa"/>
            </w:tcMar>
          </w:tcPr>
          <w:p w14:paraId="4AE4AD0A" w14:textId="77777777" w:rsidR="00867B03" w:rsidRDefault="00000000">
            <w:r>
              <w:rPr>
                <w:rFonts w:ascii="Noto Sans" w:hAnsi="Noto Sans"/>
                <w:b/>
                <w:color w:val="5B2D43"/>
                <w:sz w:val="19"/>
              </w:rPr>
              <w:t>Palabras clave</w:t>
            </w:r>
          </w:p>
        </w:tc>
        <w:tc>
          <w:tcPr>
            <w:tcW w:w="6408" w:type="dxa"/>
            <w:tcBorders>
              <w:top w:val="single" w:sz="4" w:space="0" w:color="E5E1E3"/>
              <w:left w:val="single" w:sz="4" w:space="0" w:color="E5E1E3"/>
              <w:bottom w:val="single" w:sz="4" w:space="0" w:color="E5E1E3"/>
              <w:right w:val="single" w:sz="4" w:space="0" w:color="E5E1E3"/>
            </w:tcBorders>
            <w:shd w:val="clear" w:color="auto" w:fill="FFFFFF"/>
            <w:tcMar>
              <w:top w:w="90" w:type="dxa"/>
              <w:left w:w="120" w:type="dxa"/>
              <w:bottom w:w="90" w:type="dxa"/>
              <w:right w:w="120" w:type="dxa"/>
            </w:tcMar>
          </w:tcPr>
          <w:p w14:paraId="41CF3864" w14:textId="77777777" w:rsidR="00867B03" w:rsidRDefault="00000000">
            <w:r>
              <w:rPr>
                <w:sz w:val="19"/>
              </w:rPr>
              <w:t>TCA, redes sociales, imagen corporal, adolescencia, comparación social, cultura de la imagen, vacío emocional, prevención</w:t>
            </w:r>
          </w:p>
        </w:tc>
      </w:tr>
      <w:tr w:rsidR="00867B03" w14:paraId="270DA8A3" w14:textId="77777777">
        <w:trPr>
          <w:cantSplit/>
          <w:jc w:val="center"/>
        </w:trPr>
        <w:tc>
          <w:tcPr>
            <w:tcW w:w="2520" w:type="dxa"/>
            <w:tcBorders>
              <w:top w:val="single" w:sz="4" w:space="0" w:color="E5E1E3"/>
              <w:left w:val="single" w:sz="4" w:space="0" w:color="E5E1E3"/>
              <w:bottom w:val="single" w:sz="4" w:space="0" w:color="E5E1E3"/>
              <w:right w:val="single" w:sz="4" w:space="0" w:color="E5E1E3"/>
            </w:tcBorders>
            <w:shd w:val="clear" w:color="auto" w:fill="F6EEF1"/>
            <w:tcMar>
              <w:top w:w="90" w:type="dxa"/>
              <w:left w:w="120" w:type="dxa"/>
              <w:bottom w:w="90" w:type="dxa"/>
              <w:right w:w="120" w:type="dxa"/>
            </w:tcMar>
          </w:tcPr>
          <w:p w14:paraId="06C8303E" w14:textId="77777777" w:rsidR="00867B03" w:rsidRDefault="00000000">
            <w:r>
              <w:rPr>
                <w:rFonts w:ascii="Noto Sans" w:hAnsi="Noto Sans"/>
                <w:b/>
                <w:color w:val="5B2D43"/>
                <w:sz w:val="19"/>
              </w:rPr>
              <w:t>Categorías</w:t>
            </w:r>
          </w:p>
        </w:tc>
        <w:tc>
          <w:tcPr>
            <w:tcW w:w="6408" w:type="dxa"/>
            <w:tcBorders>
              <w:top w:val="single" w:sz="4" w:space="0" w:color="E5E1E3"/>
              <w:left w:val="single" w:sz="4" w:space="0" w:color="E5E1E3"/>
              <w:bottom w:val="single" w:sz="4" w:space="0" w:color="E5E1E3"/>
              <w:right w:val="single" w:sz="4" w:space="0" w:color="E5E1E3"/>
            </w:tcBorders>
            <w:shd w:val="clear" w:color="auto" w:fill="FFFFFF"/>
            <w:tcMar>
              <w:top w:w="90" w:type="dxa"/>
              <w:left w:w="120" w:type="dxa"/>
              <w:bottom w:w="90" w:type="dxa"/>
              <w:right w:w="120" w:type="dxa"/>
            </w:tcMar>
          </w:tcPr>
          <w:p w14:paraId="48EF7FFB" w14:textId="77777777" w:rsidR="00867B03" w:rsidRDefault="00000000">
            <w:r>
              <w:rPr>
                <w:sz w:val="19"/>
              </w:rPr>
              <w:t>Trastornos de la conducta alimentaria · Adolescencia · Psicoterapia · Salud mental digital</w:t>
            </w:r>
          </w:p>
        </w:tc>
      </w:tr>
      <w:tr w:rsidR="00867B03" w14:paraId="77D90541" w14:textId="77777777">
        <w:trPr>
          <w:cantSplit/>
          <w:jc w:val="center"/>
        </w:trPr>
        <w:tc>
          <w:tcPr>
            <w:tcW w:w="2520" w:type="dxa"/>
            <w:tcBorders>
              <w:top w:val="single" w:sz="4" w:space="0" w:color="E5E1E3"/>
              <w:left w:val="single" w:sz="4" w:space="0" w:color="E5E1E3"/>
              <w:bottom w:val="single" w:sz="4" w:space="0" w:color="E5E1E3"/>
              <w:right w:val="single" w:sz="4" w:space="0" w:color="E5E1E3"/>
            </w:tcBorders>
            <w:shd w:val="clear" w:color="auto" w:fill="F6EEF1"/>
            <w:tcMar>
              <w:top w:w="90" w:type="dxa"/>
              <w:left w:w="120" w:type="dxa"/>
              <w:bottom w:w="90" w:type="dxa"/>
              <w:right w:w="120" w:type="dxa"/>
            </w:tcMar>
          </w:tcPr>
          <w:p w14:paraId="520B30A2" w14:textId="77777777" w:rsidR="00867B03" w:rsidRDefault="00000000">
            <w:r>
              <w:rPr>
                <w:rFonts w:ascii="Noto Sans" w:hAnsi="Noto Sans"/>
                <w:b/>
                <w:color w:val="5B2D43"/>
                <w:sz w:val="19"/>
              </w:rPr>
              <w:t>Público</w:t>
            </w:r>
          </w:p>
        </w:tc>
        <w:tc>
          <w:tcPr>
            <w:tcW w:w="6408" w:type="dxa"/>
            <w:tcBorders>
              <w:top w:val="single" w:sz="4" w:space="0" w:color="E5E1E3"/>
              <w:left w:val="single" w:sz="4" w:space="0" w:color="E5E1E3"/>
              <w:bottom w:val="single" w:sz="4" w:space="0" w:color="E5E1E3"/>
              <w:right w:val="single" w:sz="4" w:space="0" w:color="E5E1E3"/>
            </w:tcBorders>
            <w:shd w:val="clear" w:color="auto" w:fill="FFFFFF"/>
            <w:tcMar>
              <w:top w:w="90" w:type="dxa"/>
              <w:left w:w="120" w:type="dxa"/>
              <w:bottom w:w="90" w:type="dxa"/>
              <w:right w:w="120" w:type="dxa"/>
            </w:tcMar>
          </w:tcPr>
          <w:p w14:paraId="12559244" w14:textId="77777777" w:rsidR="00867B03" w:rsidRDefault="00000000">
            <w:r>
              <w:rPr>
                <w:sz w:val="19"/>
              </w:rPr>
              <w:t>Adolescentes y adultos jóvenes, madres y padres, docentes, profesionales de salud mental</w:t>
            </w:r>
          </w:p>
        </w:tc>
      </w:tr>
      <w:tr w:rsidR="00867B03" w14:paraId="173850F4" w14:textId="77777777">
        <w:trPr>
          <w:cantSplit/>
          <w:jc w:val="center"/>
        </w:trPr>
        <w:tc>
          <w:tcPr>
            <w:tcW w:w="2520" w:type="dxa"/>
            <w:tcBorders>
              <w:top w:val="single" w:sz="4" w:space="0" w:color="E5E1E3"/>
              <w:left w:val="single" w:sz="4" w:space="0" w:color="E5E1E3"/>
              <w:bottom w:val="single" w:sz="4" w:space="0" w:color="E5E1E3"/>
              <w:right w:val="single" w:sz="4" w:space="0" w:color="E5E1E3"/>
            </w:tcBorders>
            <w:shd w:val="clear" w:color="auto" w:fill="F6EEF1"/>
            <w:tcMar>
              <w:top w:w="90" w:type="dxa"/>
              <w:left w:w="120" w:type="dxa"/>
              <w:bottom w:w="90" w:type="dxa"/>
              <w:right w:w="120" w:type="dxa"/>
            </w:tcMar>
          </w:tcPr>
          <w:p w14:paraId="5BAB848D" w14:textId="77777777" w:rsidR="00867B03" w:rsidRDefault="00000000">
            <w:r>
              <w:rPr>
                <w:rFonts w:ascii="Noto Sans" w:hAnsi="Noto Sans"/>
                <w:b/>
                <w:color w:val="5B2D43"/>
                <w:sz w:val="19"/>
              </w:rPr>
              <w:t>Tiempo de lectura</w:t>
            </w:r>
          </w:p>
        </w:tc>
        <w:tc>
          <w:tcPr>
            <w:tcW w:w="6408" w:type="dxa"/>
            <w:tcBorders>
              <w:top w:val="single" w:sz="4" w:space="0" w:color="E5E1E3"/>
              <w:left w:val="single" w:sz="4" w:space="0" w:color="E5E1E3"/>
              <w:bottom w:val="single" w:sz="4" w:space="0" w:color="E5E1E3"/>
              <w:right w:val="single" w:sz="4" w:space="0" w:color="E5E1E3"/>
            </w:tcBorders>
            <w:shd w:val="clear" w:color="auto" w:fill="FFFFFF"/>
            <w:tcMar>
              <w:top w:w="90" w:type="dxa"/>
              <w:left w:w="120" w:type="dxa"/>
              <w:bottom w:w="90" w:type="dxa"/>
              <w:right w:w="120" w:type="dxa"/>
            </w:tcMar>
          </w:tcPr>
          <w:p w14:paraId="5E08EB50" w14:textId="77777777" w:rsidR="00867B03" w:rsidRDefault="00000000">
            <w:r>
              <w:rPr>
                <w:sz w:val="19"/>
              </w:rPr>
              <w:t>15–18 minutos</w:t>
            </w:r>
          </w:p>
        </w:tc>
      </w:tr>
      <w:tr w:rsidR="00867B03" w14:paraId="1C64DA50" w14:textId="77777777">
        <w:trPr>
          <w:cantSplit/>
          <w:jc w:val="center"/>
        </w:trPr>
        <w:tc>
          <w:tcPr>
            <w:tcW w:w="2520" w:type="dxa"/>
            <w:tcBorders>
              <w:top w:val="single" w:sz="4" w:space="0" w:color="E5E1E3"/>
              <w:left w:val="single" w:sz="4" w:space="0" w:color="E5E1E3"/>
              <w:bottom w:val="single" w:sz="4" w:space="0" w:color="E5E1E3"/>
              <w:right w:val="single" w:sz="4" w:space="0" w:color="E5E1E3"/>
            </w:tcBorders>
            <w:shd w:val="clear" w:color="auto" w:fill="F6EEF1"/>
            <w:tcMar>
              <w:top w:w="90" w:type="dxa"/>
              <w:left w:w="120" w:type="dxa"/>
              <w:bottom w:w="90" w:type="dxa"/>
              <w:right w:w="120" w:type="dxa"/>
            </w:tcMar>
          </w:tcPr>
          <w:p w14:paraId="668661E7" w14:textId="77777777" w:rsidR="00867B03" w:rsidRDefault="00000000">
            <w:r>
              <w:rPr>
                <w:rFonts w:ascii="Noto Sans" w:hAnsi="Noto Sans"/>
                <w:b/>
                <w:color w:val="5B2D43"/>
                <w:sz w:val="19"/>
              </w:rPr>
              <w:t>Extracto</w:t>
            </w:r>
          </w:p>
        </w:tc>
        <w:tc>
          <w:tcPr>
            <w:tcW w:w="6408" w:type="dxa"/>
            <w:tcBorders>
              <w:top w:val="single" w:sz="4" w:space="0" w:color="E5E1E3"/>
              <w:left w:val="single" w:sz="4" w:space="0" w:color="E5E1E3"/>
              <w:bottom w:val="single" w:sz="4" w:space="0" w:color="E5E1E3"/>
              <w:right w:val="single" w:sz="4" w:space="0" w:color="E5E1E3"/>
            </w:tcBorders>
            <w:shd w:val="clear" w:color="auto" w:fill="FFFFFF"/>
            <w:tcMar>
              <w:top w:w="90" w:type="dxa"/>
              <w:left w:w="120" w:type="dxa"/>
              <w:bottom w:w="90" w:type="dxa"/>
              <w:right w:w="120" w:type="dxa"/>
            </w:tcMar>
          </w:tcPr>
          <w:p w14:paraId="4C66BCC6" w14:textId="77777777" w:rsidR="00867B03" w:rsidRDefault="00000000">
            <w:r>
              <w:rPr>
                <w:sz w:val="19"/>
              </w:rPr>
              <w:t>En la cultura digital el cuerpo se fotografía, se edita, se compara y se evalúa. Este artículo analiza cómo la mirada ajena y la exigencia de perfección pueden intensificar vulnerabilidades alimentarias, sin reducir los TCA a una sola causa.</w:t>
            </w:r>
          </w:p>
        </w:tc>
      </w:tr>
    </w:tbl>
    <w:p w14:paraId="6417F57E" w14:textId="77777777" w:rsidR="00867B03" w:rsidRDefault="00000000">
      <w:pPr>
        <w:spacing w:before="240"/>
      </w:pPr>
      <w:r>
        <w:rPr>
          <w:rFonts w:ascii="Noto Sans" w:hAnsi="Noto Sans"/>
          <w:b/>
          <w:color w:val="315C5B"/>
          <w:sz w:val="24"/>
        </w:rPr>
        <w:t>Enfoque editorial</w:t>
      </w:r>
    </w:p>
    <w:p w14:paraId="0631D917" w14:textId="77777777" w:rsidR="00867B03" w:rsidRDefault="00000000">
      <w:pPr>
        <w:pStyle w:val="ListBulletCustom"/>
      </w:pPr>
      <w:r>
        <w:t>Mantiene el eje conceptual del texto original: cultura de la imagen, fragilidad identitaria, vacío psíquico y cuerpo como lugar de expresión.</w:t>
      </w:r>
    </w:p>
    <w:p w14:paraId="4161F390" w14:textId="77777777" w:rsidR="00867B03" w:rsidRDefault="00000000">
      <w:pPr>
        <w:pStyle w:val="ListBulletCustom"/>
      </w:pPr>
      <w:r>
        <w:t>Distingue con claridad entre factores de riesgo, desencadenantes, mecanismos de mantenimiento y causas.</w:t>
      </w:r>
    </w:p>
    <w:p w14:paraId="65C9BB98" w14:textId="77777777" w:rsidR="00867B03" w:rsidRDefault="00000000">
      <w:pPr>
        <w:pStyle w:val="ListBulletCustom"/>
      </w:pPr>
      <w:r>
        <w:t>Integra una lectura psicoanalítica con evidencia empírica reciente y orientación preventiva.</w:t>
      </w:r>
    </w:p>
    <w:p w14:paraId="072E9FB9" w14:textId="77777777" w:rsidR="00867B03" w:rsidRDefault="00000000">
      <w:pPr>
        <w:pStyle w:val="ListBulletCustom"/>
      </w:pPr>
      <w:r>
        <w:t>Evita culpabilizar a adolescentes, familias o plataformas mediante explicaciones simplistas.</w:t>
      </w:r>
    </w:p>
    <w:p w14:paraId="22B22618" w14:textId="77777777" w:rsidR="00867B03" w:rsidRDefault="00000000">
      <w:pPr>
        <w:pStyle w:val="ListBulletCustom"/>
      </w:pPr>
      <w:r>
        <w:t>Incluye señales de alerta, medidas de acompañamiento y criterios para solicitar atención especializada.</w:t>
      </w:r>
    </w:p>
    <w:tbl>
      <w:tblPr>
        <w:tblW w:w="0" w:type="auto"/>
        <w:jc w:val="center"/>
        <w:tblLayout w:type="fixed"/>
        <w:tblLook w:val="04A0" w:firstRow="1" w:lastRow="0" w:firstColumn="1" w:lastColumn="0" w:noHBand="0" w:noVBand="1"/>
      </w:tblPr>
      <w:tblGrid>
        <w:gridCol w:w="9878"/>
      </w:tblGrid>
      <w:tr w:rsidR="00867B03" w14:paraId="13FDC811" w14:textId="77777777">
        <w:trPr>
          <w:cantSplit/>
          <w:jc w:val="center"/>
        </w:trPr>
        <w:tc>
          <w:tcPr>
            <w:tcW w:w="9878" w:type="dxa"/>
            <w:tcBorders>
              <w:top w:val="nil"/>
              <w:left w:val="single" w:sz="18" w:space="0" w:color="B28A4A"/>
              <w:bottom w:val="nil"/>
              <w:right w:val="nil"/>
            </w:tcBorders>
            <w:shd w:val="clear" w:color="auto" w:fill="FFF8EA"/>
            <w:tcMar>
              <w:top w:w="150" w:type="dxa"/>
              <w:left w:w="200" w:type="dxa"/>
              <w:bottom w:w="150" w:type="dxa"/>
              <w:right w:w="200" w:type="dxa"/>
            </w:tcMar>
            <w:vAlign w:val="center"/>
          </w:tcPr>
          <w:p w14:paraId="276C2ECD" w14:textId="77777777" w:rsidR="00867B03" w:rsidRDefault="00000000">
            <w:pPr>
              <w:spacing w:after="100"/>
            </w:pPr>
            <w:r>
              <w:rPr>
                <w:rFonts w:ascii="Noto Sans" w:hAnsi="Noto Sans"/>
                <w:b/>
                <w:color w:val="B28A4A"/>
                <w:sz w:val="22"/>
              </w:rPr>
              <w:lastRenderedPageBreak/>
              <w:t>Nota de rigor clínico</w:t>
            </w:r>
          </w:p>
          <w:p w14:paraId="7C4C3E45" w14:textId="77777777" w:rsidR="00867B03" w:rsidRDefault="00000000">
            <w:pPr>
              <w:spacing w:after="60"/>
            </w:pPr>
            <w:r>
              <w:rPr>
                <w:sz w:val="20"/>
              </w:rPr>
              <w:t>No todos los trastornos de la conducta alimentaria tienen como núcleo la preocupación por el peso o la figura. Este artículo se concentra en aquellos cuadros y síntomas en los que la imagen corporal, la comparación y el control ocupan un lugar relevante. La valoración diagnóstica siempre debe individualizarse.</w:t>
            </w:r>
          </w:p>
        </w:tc>
      </w:tr>
    </w:tbl>
    <w:p w14:paraId="09F0F657" w14:textId="77777777" w:rsidR="00867B03" w:rsidRDefault="00867B03">
      <w:pPr>
        <w:spacing w:after="0"/>
      </w:pPr>
    </w:p>
    <w:p w14:paraId="7C2729FD" w14:textId="77777777" w:rsidR="00867B03" w:rsidRDefault="00867B03">
      <w:pPr>
        <w:spacing w:after="80"/>
      </w:pPr>
    </w:p>
    <w:p w14:paraId="0582CC92" w14:textId="77777777" w:rsidR="00867B03" w:rsidRDefault="00000000">
      <w:r>
        <w:rPr>
          <w:rFonts w:ascii="Noto Sans" w:hAnsi="Noto Sans"/>
          <w:b/>
          <w:color w:val="B77B8F"/>
          <w:sz w:val="18"/>
        </w:rPr>
        <w:t>TRASTORNOS DE LA CONDUCTA ALIMENTARIA</w:t>
      </w:r>
    </w:p>
    <w:p w14:paraId="05EEA1AF" w14:textId="77777777" w:rsidR="00867B03" w:rsidRDefault="00000000">
      <w:pPr>
        <w:spacing w:after="160"/>
      </w:pPr>
      <w:r>
        <w:rPr>
          <w:rFonts w:ascii="Noto Sans" w:hAnsi="Noto Sans"/>
          <w:b/>
          <w:color w:val="5B2D43"/>
          <w:sz w:val="50"/>
        </w:rPr>
        <w:t>Trastornos de la conducta alimentaria en la era digital</w:t>
      </w:r>
    </w:p>
    <w:p w14:paraId="2EBD633C" w14:textId="77777777" w:rsidR="00867B03" w:rsidRDefault="00000000">
      <w:pPr>
        <w:spacing w:after="200"/>
      </w:pPr>
      <w:r>
        <w:rPr>
          <w:i/>
          <w:color w:val="315C5B"/>
          <w:sz w:val="28"/>
        </w:rPr>
        <w:t>Redes sociales, cultura de la imagen y cuerpo como escenario del vacío</w:t>
      </w:r>
    </w:p>
    <w:p w14:paraId="3294B22A" w14:textId="77777777" w:rsidR="00867B03" w:rsidRDefault="00000000">
      <w:pPr>
        <w:spacing w:after="280"/>
      </w:pPr>
      <w:r>
        <w:rPr>
          <w:rFonts w:ascii="Noto Sans" w:hAnsi="Noto Sans"/>
          <w:b/>
          <w:color w:val="666666"/>
          <w:sz w:val="19"/>
        </w:rPr>
        <w:t>Por Nancy Farah Escalante Ruíz, psicóloga clínica y psicoterapeuta</w:t>
      </w:r>
    </w:p>
    <w:p w14:paraId="0D83C609" w14:textId="77777777" w:rsidR="00867B03" w:rsidRDefault="00000000">
      <w:pPr>
        <w:pStyle w:val="Lead"/>
      </w:pPr>
      <w:r>
        <w:t>Hoy el cuerpo no solo se habita: también se fotografía, se edita, se compara, se mide y se expone. En ese escenario, la apariencia puede convertirse en una carta de presentación permanente y la aprobación de los demás en una medida inestable del propio valor.</w:t>
      </w:r>
    </w:p>
    <w:p w14:paraId="1350F368" w14:textId="77777777" w:rsidR="00867B03" w:rsidRDefault="00000000">
      <w:pPr>
        <w:pStyle w:val="BodyTextCustom"/>
      </w:pPr>
      <w:r>
        <w:rPr>
          <w:sz w:val="22"/>
        </w:rPr>
        <w:t>La cultura digital ha transformado de manera profunda la relación que las personas establecen con su cuerpo y con su imagen. Las redes sociales pueden ofrecer pertenencia, información, creatividad y apoyo; al mismo tiempo, crean espacios de exposición continua en los que el cuerpo se vuelve visible, cuantificable y susceptible de evaluación inmediata.</w:t>
      </w:r>
    </w:p>
    <w:p w14:paraId="23968FBC" w14:textId="77777777" w:rsidR="00867B03" w:rsidRDefault="00000000">
      <w:pPr>
        <w:pStyle w:val="BodyTextCustom"/>
      </w:pPr>
      <w:r>
        <w:rPr>
          <w:sz w:val="22"/>
        </w:rPr>
        <w:t>Esta tensión adquiere especial relevancia durante la adolescencia y la adultez joven, etapas en las que se reorganizan la identidad, la pertenencia y la necesidad de reconocimiento. Cuando existe vulnerabilidad previa, el flujo constante de imágenes idealizadas, mensajes sobre dieta, ejercicio y transformación corporal puede intensificar la insatisfacción, la vergüenza y las conductas alimentarias de riesgo.</w:t>
      </w:r>
    </w:p>
    <w:tbl>
      <w:tblPr>
        <w:tblW w:w="0" w:type="auto"/>
        <w:jc w:val="center"/>
        <w:tblLayout w:type="fixed"/>
        <w:tblLook w:val="04A0" w:firstRow="1" w:lastRow="0" w:firstColumn="1" w:lastColumn="0" w:noHBand="0" w:noVBand="1"/>
      </w:tblPr>
      <w:tblGrid>
        <w:gridCol w:w="9878"/>
      </w:tblGrid>
      <w:tr w:rsidR="00867B03" w14:paraId="10216B79" w14:textId="77777777">
        <w:trPr>
          <w:cantSplit/>
          <w:jc w:val="center"/>
        </w:trPr>
        <w:tc>
          <w:tcPr>
            <w:tcW w:w="9878" w:type="dxa"/>
            <w:tcBorders>
              <w:top w:val="nil"/>
              <w:left w:val="single" w:sz="18" w:space="0" w:color="5B2D43"/>
              <w:bottom w:val="nil"/>
              <w:right w:val="nil"/>
            </w:tcBorders>
            <w:shd w:val="clear" w:color="auto" w:fill="F6EEF1"/>
            <w:tcMar>
              <w:top w:w="150" w:type="dxa"/>
              <w:left w:w="200" w:type="dxa"/>
              <w:bottom w:w="150" w:type="dxa"/>
              <w:right w:w="200" w:type="dxa"/>
            </w:tcMar>
            <w:vAlign w:val="center"/>
          </w:tcPr>
          <w:p w14:paraId="6214E68D" w14:textId="77777777" w:rsidR="00867B03" w:rsidRDefault="00000000">
            <w:pPr>
              <w:spacing w:after="100"/>
            </w:pPr>
            <w:r>
              <w:rPr>
                <w:rFonts w:ascii="Noto Sans" w:hAnsi="Noto Sans"/>
                <w:b/>
                <w:color w:val="5B2D43"/>
                <w:sz w:val="22"/>
              </w:rPr>
              <w:t>Idea central</w:t>
            </w:r>
          </w:p>
          <w:p w14:paraId="56DDA575" w14:textId="77777777" w:rsidR="00867B03" w:rsidRDefault="00000000">
            <w:pPr>
              <w:spacing w:after="60"/>
            </w:pPr>
            <w:r>
              <w:rPr>
                <w:sz w:val="20"/>
              </w:rPr>
              <w:t>Las redes sociales no son una causa única ni suficiente de los TCA. Pueden actuar como amplificadores de vulnerabilidades psicológicas, familiares, biológicas y socioculturales; también pueden desencadenar o mantener síntomas en determinadas personas.</w:t>
            </w:r>
          </w:p>
        </w:tc>
      </w:tr>
    </w:tbl>
    <w:p w14:paraId="6D24BEFF" w14:textId="77777777" w:rsidR="00867B03" w:rsidRDefault="00867B03">
      <w:pPr>
        <w:spacing w:after="0"/>
      </w:pPr>
    </w:p>
    <w:p w14:paraId="35C025C3" w14:textId="77777777" w:rsidR="00867B03" w:rsidRDefault="00000000">
      <w:pPr>
        <w:pStyle w:val="Ttulo1"/>
      </w:pPr>
      <w:r>
        <w:lastRenderedPageBreak/>
        <w:t>Los TCA no son un problema de vanidad ni de falta de voluntad</w:t>
      </w:r>
    </w:p>
    <w:p w14:paraId="27757DB0" w14:textId="77777777" w:rsidR="00867B03" w:rsidRDefault="00000000">
      <w:pPr>
        <w:pStyle w:val="BodyTextCustom"/>
        <w:ind w:firstLine="317"/>
      </w:pPr>
      <w:r>
        <w:rPr>
          <w:sz w:val="22"/>
        </w:rPr>
        <w:t>Los trastornos de la conducta alimentaria son cuadros complejos en los que convergen factores biológicos, emocionales, familiares, relacionales y culturales. Reducirlos a “querer verse bien”, “comer poco” o “no tener disciplina” impide comprender su gravedad y retrasa la atención.</w:t>
      </w:r>
    </w:p>
    <w:p w14:paraId="6163863A" w14:textId="77777777" w:rsidR="00867B03" w:rsidRDefault="00000000">
      <w:pPr>
        <w:pStyle w:val="BodyTextCustom"/>
        <w:ind w:firstLine="317"/>
      </w:pPr>
      <w:r>
        <w:rPr>
          <w:sz w:val="22"/>
        </w:rPr>
        <w:t>La conducta alimentaria visible es solo una parte del problema. En algunos casos, restringir, atracarse, purgarse, ejercitarse de forma compulsiva o vigilar obsesivamente el cuerpo puede funcionar como un intento de regular angustia, recuperar una sensación de control, organizar una identidad frágil o convertir un dolor difuso en reglas concretas: calorías, horarios, pasos, peso y medidas.</w:t>
      </w:r>
    </w:p>
    <w:p w14:paraId="42214F3D" w14:textId="77777777" w:rsidR="00867B03" w:rsidRDefault="00000000">
      <w:pPr>
        <w:pStyle w:val="BodyTextCustom"/>
        <w:ind w:firstLine="317"/>
      </w:pPr>
      <w:r>
        <w:rPr>
          <w:sz w:val="22"/>
        </w:rPr>
        <w:t>Esto no significa que todos los síntomas tengan el mismo sentido ni que una interpretación psicológica sustituya la evaluación médica y nutricional. Significa que la conducta debe escucharse también como comunicación: ¿qué emoción intenta contener?, ¿qué conflicto organiza?, ¿qué necesidad expresa?, ¿qué experiencia resulta todavía difícil de nombrar?</w:t>
      </w:r>
    </w:p>
    <w:tbl>
      <w:tblPr>
        <w:tblW w:w="0" w:type="auto"/>
        <w:jc w:val="center"/>
        <w:tblLayout w:type="fixed"/>
        <w:tblLook w:val="04A0" w:firstRow="1" w:lastRow="0" w:firstColumn="1" w:lastColumn="0" w:noHBand="0" w:noVBand="1"/>
      </w:tblPr>
      <w:tblGrid>
        <w:gridCol w:w="9878"/>
      </w:tblGrid>
      <w:tr w:rsidR="00867B03" w14:paraId="29BC843C" w14:textId="77777777">
        <w:trPr>
          <w:cantSplit/>
          <w:jc w:val="center"/>
        </w:trPr>
        <w:tc>
          <w:tcPr>
            <w:tcW w:w="9878" w:type="dxa"/>
            <w:tcBorders>
              <w:top w:val="single" w:sz="8" w:space="0" w:color="B77B8F"/>
              <w:left w:val="nil"/>
              <w:bottom w:val="single" w:sz="8" w:space="0" w:color="B77B8F"/>
              <w:right w:val="nil"/>
            </w:tcBorders>
            <w:shd w:val="clear" w:color="auto" w:fill="FBF8F9"/>
            <w:tcMar>
              <w:top w:w="170" w:type="dxa"/>
              <w:left w:w="260" w:type="dxa"/>
              <w:bottom w:w="170" w:type="dxa"/>
              <w:right w:w="260" w:type="dxa"/>
            </w:tcMar>
          </w:tcPr>
          <w:p w14:paraId="12E9ADC8" w14:textId="77777777" w:rsidR="00867B03" w:rsidRDefault="00000000">
            <w:pPr>
              <w:jc w:val="center"/>
            </w:pPr>
            <w:r>
              <w:rPr>
                <w:i/>
                <w:color w:val="5B2D43"/>
                <w:sz w:val="24"/>
              </w:rPr>
              <w:t>“El síntoma alimentario puede convertir un sufrimiento sin palabras en una preocupación concreta por la comida, el peso o la forma del cuerpo.”</w:t>
            </w:r>
          </w:p>
        </w:tc>
      </w:tr>
    </w:tbl>
    <w:p w14:paraId="4029BC93" w14:textId="77777777" w:rsidR="00867B03" w:rsidRDefault="00867B03">
      <w:pPr>
        <w:spacing w:after="0"/>
      </w:pPr>
    </w:p>
    <w:p w14:paraId="1C3437E2" w14:textId="77777777" w:rsidR="00867B03" w:rsidRDefault="00000000">
      <w:pPr>
        <w:pStyle w:val="Ttulo1"/>
      </w:pPr>
      <w:r>
        <w:t>La era digital modifica la forma de mirar y de ser mirados</w:t>
      </w:r>
    </w:p>
    <w:p w14:paraId="1A50A2D5" w14:textId="77777777" w:rsidR="00867B03" w:rsidRDefault="00000000">
      <w:pPr>
        <w:pStyle w:val="BodyTextCustom"/>
        <w:ind w:firstLine="317"/>
      </w:pPr>
      <w:r>
        <w:rPr>
          <w:sz w:val="22"/>
        </w:rPr>
        <w:t>La comparación corporal existía antes de internet, pero las plataformas digitales modificaron su intensidad, frecuencia y alcance. La persona ya no se compara únicamente con quienes encuentra en su vida cotidiana, sino con una corriente ininterrumpida de cuerpos seleccionados, iluminados, editados y presentados en sus momentos más favorecedores.</w:t>
      </w:r>
    </w:p>
    <w:p w14:paraId="22839508" w14:textId="77777777" w:rsidR="00867B03" w:rsidRDefault="00000000">
      <w:pPr>
        <w:pStyle w:val="BodyTextCustom"/>
        <w:ind w:firstLine="317"/>
      </w:pPr>
      <w:r>
        <w:rPr>
          <w:sz w:val="22"/>
        </w:rPr>
        <w:t>Además, la mirada del otro se vuelve cuantificable. “Me gusta”, reproducciones, comentarios, seguidores y reacciones traducen el reconocimiento social en cifras. Estas métricas no determinan por sí mismas la autoestima, pero pueden volverla más dependiente de una validación externa rápida e inestable, especialmente cuando la identidad todavía se encuentra en construcción.</w:t>
      </w:r>
    </w:p>
    <w:p w14:paraId="2CF90A9B" w14:textId="77777777" w:rsidR="00867B03" w:rsidRDefault="00000000">
      <w:pPr>
        <w:pStyle w:val="Ttulo2"/>
      </w:pPr>
      <w:r>
        <w:t>Filtros, edición y distancia entre el cuerpo real y el cuerpo ideal</w:t>
      </w:r>
    </w:p>
    <w:p w14:paraId="6918A6B6" w14:textId="77777777" w:rsidR="00867B03" w:rsidRDefault="00000000">
      <w:pPr>
        <w:pStyle w:val="BodyTextCustom"/>
        <w:ind w:firstLine="317"/>
      </w:pPr>
      <w:r>
        <w:rPr>
          <w:sz w:val="22"/>
        </w:rPr>
        <w:t xml:space="preserve">Los filtros y las herramientas de edición no solo corrigen una fotografía; también pueden modificar el punto de referencia con el que una persona evalúa su propio cuerpo. Cuanto mayor es la distancia entre la apariencia cotidiana y la imagen digital idealizada, más </w:t>
      </w:r>
      <w:r>
        <w:rPr>
          <w:sz w:val="22"/>
        </w:rPr>
        <w:lastRenderedPageBreak/>
        <w:t>probable es que aparezcan insatisfacción, vigilancia corporal y sentimientos persistentes de vergüenza o insuficiencia.</w:t>
      </w:r>
    </w:p>
    <w:p w14:paraId="71C07C1D" w14:textId="77777777" w:rsidR="00867B03" w:rsidRDefault="00000000">
      <w:pPr>
        <w:pStyle w:val="BodyTextCustom"/>
        <w:ind w:firstLine="317"/>
      </w:pPr>
      <w:r>
        <w:rPr>
          <w:sz w:val="22"/>
        </w:rPr>
        <w:t>El problema no es únicamente “creer que una imagen es real”. Muchas personas saben que una fotografía está editada y, aun así, se comparan con ella. El impacto ocurre en un nivel emocional: el cuerpo propio se siente defectuoso frente a un ideal que ha sido diseñado precisamente para captar la mirada.</w:t>
      </w:r>
    </w:p>
    <w:p w14:paraId="0066693D" w14:textId="77777777" w:rsidR="00867B03" w:rsidRDefault="00000000">
      <w:pPr>
        <w:pStyle w:val="Ttulo2"/>
      </w:pPr>
      <w:r>
        <w:t>El algoritmo y la repetición de una misma preocupación</w:t>
      </w:r>
    </w:p>
    <w:p w14:paraId="73DFF0A5" w14:textId="77777777" w:rsidR="00867B03" w:rsidRDefault="00000000">
      <w:pPr>
        <w:pStyle w:val="BodyTextCustom"/>
        <w:ind w:firstLine="317"/>
      </w:pPr>
      <w:r>
        <w:rPr>
          <w:sz w:val="22"/>
        </w:rPr>
        <w:t>Las plataformas tienden a mostrar más contenido relacionado con aquello que retiene la atención. Por ello, una búsqueda aparentemente inocente sobre nutrición, ejercicio o pérdida de peso puede convertirse en una secuencia cada vez más estrecha de mensajes sobre transformación corporal, “limpieza”, ayuno, disciplina o control. En una persona vulnerable, esa repetición puede normalizar conductas peligrosas y reforzar la idea de que el cuerpo necesita ser corregido.</w:t>
      </w:r>
    </w:p>
    <w:p w14:paraId="711FDF94" w14:textId="77777777" w:rsidR="00867B03" w:rsidRDefault="00000000">
      <w:pPr>
        <w:pStyle w:val="BodyTextCustom"/>
        <w:ind w:firstLine="317"/>
      </w:pPr>
      <w:r>
        <w:rPr>
          <w:sz w:val="22"/>
        </w:rPr>
        <w:t>La investigación reciente respalda la importancia de la comparación en línea. Una revisión sistemática y metaanálisis de 83 estudios, con más de 55 000 participantes, encontró asociaciones de magnitud moderada entre mayor comparación social en redes, más preocupaciones por la imagen corporal y más síntomas alimentarios. Sin embargo, una asociación no demuestra que las redes causen por sí solas el trastorno; también es posible que quienes ya presentan malestar busquen con mayor frecuencia contenidos relacionados con el cuerpo (Bonfanti et al., 2025).</w:t>
      </w:r>
    </w:p>
    <w:tbl>
      <w:tblPr>
        <w:tblW w:w="0" w:type="auto"/>
        <w:jc w:val="center"/>
        <w:tblLayout w:type="fixed"/>
        <w:tblLook w:val="04A0" w:firstRow="1" w:lastRow="0" w:firstColumn="1" w:lastColumn="0" w:noHBand="0" w:noVBand="1"/>
      </w:tblPr>
      <w:tblGrid>
        <w:gridCol w:w="9878"/>
      </w:tblGrid>
      <w:tr w:rsidR="00867B03" w14:paraId="1702D4B0" w14:textId="77777777">
        <w:trPr>
          <w:cantSplit/>
          <w:jc w:val="center"/>
        </w:trPr>
        <w:tc>
          <w:tcPr>
            <w:tcW w:w="9878" w:type="dxa"/>
            <w:tcBorders>
              <w:top w:val="nil"/>
              <w:left w:val="single" w:sz="18" w:space="0" w:color="315C5B"/>
              <w:bottom w:val="nil"/>
              <w:right w:val="nil"/>
            </w:tcBorders>
            <w:shd w:val="clear" w:color="auto" w:fill="EAF2F1"/>
            <w:tcMar>
              <w:top w:w="150" w:type="dxa"/>
              <w:left w:w="200" w:type="dxa"/>
              <w:bottom w:w="150" w:type="dxa"/>
              <w:right w:w="200" w:type="dxa"/>
            </w:tcMar>
            <w:vAlign w:val="center"/>
          </w:tcPr>
          <w:p w14:paraId="6ED11FBB" w14:textId="77777777" w:rsidR="00867B03" w:rsidRDefault="00000000">
            <w:pPr>
              <w:spacing w:after="100"/>
            </w:pPr>
            <w:r>
              <w:rPr>
                <w:rFonts w:ascii="Noto Sans" w:hAnsi="Noto Sans"/>
                <w:b/>
                <w:color w:val="315C5B"/>
                <w:sz w:val="22"/>
              </w:rPr>
              <w:t>Lo que importa no es solo cuánto tiempo se usa una red</w:t>
            </w:r>
          </w:p>
          <w:p w14:paraId="67BB4995" w14:textId="77777777" w:rsidR="00867B03" w:rsidRDefault="00000000">
            <w:pPr>
              <w:spacing w:after="60"/>
            </w:pPr>
            <w:r>
              <w:rPr>
                <w:sz w:val="20"/>
              </w:rPr>
              <w:t>También importan el tipo de contenido, la intención con la que se consulta, la comparación que provoca, la vulnerabilidad previa, la respuesta emocional posterior y la manera en que el algoritmo repite determinados temas.</w:t>
            </w:r>
          </w:p>
        </w:tc>
      </w:tr>
    </w:tbl>
    <w:p w14:paraId="62A62B91" w14:textId="77777777" w:rsidR="00867B03" w:rsidRDefault="00867B03">
      <w:pPr>
        <w:spacing w:after="0"/>
      </w:pPr>
    </w:p>
    <w:p w14:paraId="1BE24C65" w14:textId="77777777" w:rsidR="00867B03" w:rsidRDefault="00000000">
      <w:pPr>
        <w:pStyle w:val="Ttulo1"/>
      </w:pPr>
      <w:r>
        <w:t>Adolescencia: identidad, pertenencia y necesidad de reconocimiento</w:t>
      </w:r>
    </w:p>
    <w:p w14:paraId="539975B0" w14:textId="77777777" w:rsidR="00867B03" w:rsidRDefault="00000000">
      <w:pPr>
        <w:pStyle w:val="BodyTextCustom"/>
        <w:ind w:firstLine="317"/>
      </w:pPr>
      <w:r>
        <w:rPr>
          <w:sz w:val="22"/>
        </w:rPr>
        <w:t>La adolescencia implica separarse progresivamente de las identificaciones infantiles y construir una identidad propia. El cuerpo cambia, la pertenencia al grupo adquiere mayor peso y la mirada de los pares puede sentirse decisiva. No se trata de superficialidad: pertenecer y ser reconocido son necesidades humanas fundamentales.</w:t>
      </w:r>
    </w:p>
    <w:p w14:paraId="4144C737" w14:textId="77777777" w:rsidR="00867B03" w:rsidRDefault="00000000">
      <w:pPr>
        <w:pStyle w:val="BodyTextCustom"/>
        <w:ind w:firstLine="317"/>
      </w:pPr>
      <w:r>
        <w:rPr>
          <w:sz w:val="22"/>
        </w:rPr>
        <w:t xml:space="preserve">El texto original de este artículo parte de la idea de una fragilidad identitaria propia de esta etapa. Desde la lectura de Recalcati (2014), el adolescente contemporáneo puede enfrentar una pérdida de referencias simbólicas estables y una dificultad para encontrar </w:t>
      </w:r>
      <w:r>
        <w:rPr>
          <w:sz w:val="22"/>
        </w:rPr>
        <w:lastRenderedPageBreak/>
        <w:t>sentido. Cuando el malestar no logra elaborarse mediante la palabra, el cuerpo puede convertirse en un lugar donde se inscriben la angustia, la agresividad, la necesidad de control o el deseo de ser visto.</w:t>
      </w:r>
    </w:p>
    <w:p w14:paraId="069B6080" w14:textId="77777777" w:rsidR="00867B03" w:rsidRDefault="00000000">
      <w:pPr>
        <w:pStyle w:val="BodyTextCustom"/>
        <w:ind w:firstLine="317"/>
      </w:pPr>
      <w:r>
        <w:rPr>
          <w:sz w:val="22"/>
        </w:rPr>
        <w:t>Winnicott (1993) permite pensar la importancia de la mirada del otro en la constitución del sentimiento de sí. Como extensión clínica de esta idea, las redes pueden funcionar como un espejo colectivo; sin embargo, no es un espejo neutral. Está atravesado por filtros, tendencias, métricas y expectativas comerciales. Cuando la persona depende excesivamente de ese reflejo, corre el riesgo de sentirse real solo cuando es observada, aprobada o deseada.</w:t>
      </w:r>
    </w:p>
    <w:tbl>
      <w:tblPr>
        <w:tblW w:w="0" w:type="auto"/>
        <w:jc w:val="center"/>
        <w:tblLayout w:type="fixed"/>
        <w:tblLook w:val="04A0" w:firstRow="1" w:lastRow="0" w:firstColumn="1" w:lastColumn="0" w:noHBand="0" w:noVBand="1"/>
      </w:tblPr>
      <w:tblGrid>
        <w:gridCol w:w="9878"/>
      </w:tblGrid>
      <w:tr w:rsidR="00867B03" w14:paraId="37F15B26" w14:textId="77777777">
        <w:trPr>
          <w:cantSplit/>
          <w:jc w:val="center"/>
        </w:trPr>
        <w:tc>
          <w:tcPr>
            <w:tcW w:w="9878" w:type="dxa"/>
            <w:tcBorders>
              <w:top w:val="single" w:sz="8" w:space="0" w:color="B77B8F"/>
              <w:left w:val="nil"/>
              <w:bottom w:val="single" w:sz="8" w:space="0" w:color="B77B8F"/>
              <w:right w:val="nil"/>
            </w:tcBorders>
            <w:shd w:val="clear" w:color="auto" w:fill="FBF8F9"/>
            <w:tcMar>
              <w:top w:w="170" w:type="dxa"/>
              <w:left w:w="260" w:type="dxa"/>
              <w:bottom w:w="170" w:type="dxa"/>
              <w:right w:w="260" w:type="dxa"/>
            </w:tcMar>
          </w:tcPr>
          <w:p w14:paraId="11D1C7F9" w14:textId="77777777" w:rsidR="00867B03" w:rsidRDefault="00000000">
            <w:pPr>
              <w:jc w:val="center"/>
            </w:pPr>
            <w:r>
              <w:rPr>
                <w:i/>
                <w:color w:val="5B2D43"/>
                <w:sz w:val="24"/>
              </w:rPr>
              <w:t>“La pregunta deja de ser “¿cómo habito mi cuerpo?” y se transforma en “¿cómo se ve mi cuerpo ante los demás?”.”</w:t>
            </w:r>
          </w:p>
        </w:tc>
      </w:tr>
    </w:tbl>
    <w:p w14:paraId="4142836B" w14:textId="77777777" w:rsidR="00867B03" w:rsidRDefault="00867B03">
      <w:pPr>
        <w:spacing w:after="0"/>
      </w:pPr>
    </w:p>
    <w:p w14:paraId="2FB865B5" w14:textId="77777777" w:rsidR="00867B03" w:rsidRDefault="00000000">
      <w:pPr>
        <w:pStyle w:val="Ttulo1"/>
      </w:pPr>
      <w:r>
        <w:t>Del cuerpo vivido al cuerpo convertido en proyecto</w:t>
      </w:r>
    </w:p>
    <w:p w14:paraId="50228F52" w14:textId="77777777" w:rsidR="00867B03" w:rsidRDefault="00000000">
      <w:pPr>
        <w:pStyle w:val="BodyTextCustom"/>
        <w:ind w:firstLine="317"/>
      </w:pPr>
      <w:r>
        <w:rPr>
          <w:sz w:val="22"/>
        </w:rPr>
        <w:t>En la cultura de la imagen, el cuerpo puede dejar de experimentarse como parte integrada de la persona y comenzar a tratarse como un objeto que debe corregirse, optimizarse y exhibirse. Ya no es únicamente el lugar desde el cual se vive, sino un proyecto permanente sometido a evaluación.</w:t>
      </w:r>
    </w:p>
    <w:p w14:paraId="58E109F7" w14:textId="77777777" w:rsidR="00867B03" w:rsidRDefault="00000000">
      <w:pPr>
        <w:pStyle w:val="BodyTextCustom"/>
        <w:ind w:firstLine="317"/>
      </w:pPr>
      <w:r>
        <w:rPr>
          <w:sz w:val="22"/>
        </w:rPr>
        <w:t>Han (2014) describe una sociedad organizada alrededor del rendimiento y la autoexigencia. Esta lógica también alcanza al cuerpo: hay que mostrarse productivo, saludable, atractivo, disciplinado y feliz. El ideal no exige solo delgadez; también puede exigir musculatura, juventud, piel perfecta, alimentación “limpia”, ejercicio constante y una vida aparentemente bajo control.</w:t>
      </w:r>
    </w:p>
    <w:p w14:paraId="4C482604" w14:textId="77777777" w:rsidR="00867B03" w:rsidRDefault="00000000">
      <w:pPr>
        <w:pStyle w:val="BodyTextCustom"/>
        <w:ind w:firstLine="317"/>
      </w:pPr>
      <w:r>
        <w:rPr>
          <w:sz w:val="22"/>
        </w:rPr>
        <w:t>Por eso algunos contenidos que se presentan como bienestar pueden resultar difíciles de distinguir de la obsesión. La etiqueta “saludable” no vuelve inocua una práctica. Cuando la alimentación se moraliza, los alimentos se dividen rígidamente entre “buenos” y “malos”, el descanso produce culpa y el ejercicio deja de ser una elección para convertirse en obligación, conviene prestar atención.</w:t>
      </w:r>
    </w:p>
    <w:p w14:paraId="06E746C4" w14:textId="77777777" w:rsidR="00867B03" w:rsidRDefault="00000000">
      <w:pPr>
        <w:pStyle w:val="Ttulo1"/>
      </w:pPr>
      <w:r>
        <w:t>El cuerpo como escenario del vacío y del dolor psíquico</w:t>
      </w:r>
    </w:p>
    <w:p w14:paraId="71928279" w14:textId="77777777" w:rsidR="00867B03" w:rsidRDefault="00000000">
      <w:pPr>
        <w:pStyle w:val="BodyTextCustom"/>
        <w:ind w:firstLine="317"/>
      </w:pPr>
      <w:r>
        <w:rPr>
          <w:sz w:val="22"/>
        </w:rPr>
        <w:t>El concepto de “cuerpo como escenario del vacío” no pretende afirmar que todos los TCA provengan de un vacío emocional. Es una lente clínica para comprender ciertos casos en los que el cuerpo expresa aquello que todavía no ha podido representarse con palabras.</w:t>
      </w:r>
    </w:p>
    <w:p w14:paraId="1CA461C8" w14:textId="77777777" w:rsidR="00867B03" w:rsidRDefault="00000000">
      <w:pPr>
        <w:pStyle w:val="BodyTextCustom"/>
        <w:ind w:firstLine="317"/>
      </w:pPr>
      <w:r>
        <w:rPr>
          <w:sz w:val="22"/>
        </w:rPr>
        <w:t xml:space="preserve">McDougall (1989) permite pensar el cuerpo como un teatro en el que se representa un conflicto psíquico que no encuentra otra vía de expresión. En algunos pacientes, el síntoma alimentario organiza un mundo interno caótico: proporciona reglas, rituales y una sensación </w:t>
      </w:r>
      <w:r>
        <w:rPr>
          <w:sz w:val="22"/>
        </w:rPr>
        <w:lastRenderedPageBreak/>
        <w:t>momentánea de dominio. En otros, hace visible un sufrimiento que durante mucho tiempo no fue reconocido por nadie.</w:t>
      </w:r>
    </w:p>
    <w:p w14:paraId="6947F8DD" w14:textId="77777777" w:rsidR="00867B03" w:rsidRDefault="00000000">
      <w:pPr>
        <w:pStyle w:val="BodyTextCustom"/>
        <w:ind w:firstLine="317"/>
      </w:pPr>
      <w:r>
        <w:rPr>
          <w:sz w:val="22"/>
        </w:rPr>
        <w:t>Desde esta perspectiva, el vacío no es simplemente “no tener nada”. Puede ser una experiencia de desconexión, falta de sentido, dificultad para reconocer necesidades propias, sentimiento de no existir para el otro o imposibilidad de sentir el cuerpo como hogar. La restricción, el atracón o la purga pueden intentar llenar, anestesiar, controlar o expulsar estados emocionales abrumadores.</w:t>
      </w:r>
    </w:p>
    <w:p w14:paraId="092333DE" w14:textId="77777777" w:rsidR="00867B03" w:rsidRDefault="00000000">
      <w:pPr>
        <w:pStyle w:val="BodyTextCustom"/>
        <w:ind w:firstLine="317"/>
      </w:pPr>
      <w:r>
        <w:rPr>
          <w:sz w:val="22"/>
        </w:rPr>
        <w:t>La tarea clínica consiste en comprender esa función sin romantizar el síntoma. El TCA puede tener significado, pero también causa daño médico, cognitivo y relacional. Escuchar lo que expresa no significa dejar de intervenir sobre la alimentación, la desnutrición, la purga o el ejercicio compulsivo.</w:t>
      </w:r>
    </w:p>
    <w:tbl>
      <w:tblPr>
        <w:tblW w:w="0" w:type="auto"/>
        <w:jc w:val="center"/>
        <w:tblLayout w:type="fixed"/>
        <w:tblLook w:val="04A0" w:firstRow="1" w:lastRow="0" w:firstColumn="1" w:lastColumn="0" w:noHBand="0" w:noVBand="1"/>
      </w:tblPr>
      <w:tblGrid>
        <w:gridCol w:w="9878"/>
      </w:tblGrid>
      <w:tr w:rsidR="00867B03" w14:paraId="1F22A3D6" w14:textId="77777777">
        <w:trPr>
          <w:cantSplit/>
          <w:jc w:val="center"/>
        </w:trPr>
        <w:tc>
          <w:tcPr>
            <w:tcW w:w="9878" w:type="dxa"/>
            <w:tcBorders>
              <w:top w:val="nil"/>
              <w:left w:val="single" w:sz="18" w:space="0" w:color="B28A4A"/>
              <w:bottom w:val="nil"/>
              <w:right w:val="nil"/>
            </w:tcBorders>
            <w:shd w:val="clear" w:color="auto" w:fill="FFF8EA"/>
            <w:tcMar>
              <w:top w:w="150" w:type="dxa"/>
              <w:left w:w="200" w:type="dxa"/>
              <w:bottom w:w="150" w:type="dxa"/>
              <w:right w:w="200" w:type="dxa"/>
            </w:tcMar>
            <w:vAlign w:val="center"/>
          </w:tcPr>
          <w:p w14:paraId="26898F9C" w14:textId="77777777" w:rsidR="00867B03" w:rsidRDefault="00000000">
            <w:pPr>
              <w:spacing w:after="100"/>
            </w:pPr>
            <w:r>
              <w:rPr>
                <w:rFonts w:ascii="Noto Sans" w:hAnsi="Noto Sans"/>
                <w:b/>
                <w:color w:val="B28A4A"/>
                <w:sz w:val="22"/>
              </w:rPr>
              <w:t>Dos verdades deben sostenerse al mismo tiempo</w:t>
            </w:r>
          </w:p>
          <w:p w14:paraId="065723D9" w14:textId="77777777" w:rsidR="00867B03" w:rsidRDefault="00000000">
            <w:pPr>
              <w:pStyle w:val="ListBulletCustom"/>
              <w:spacing w:after="40"/>
              <w:ind w:left="216"/>
            </w:pPr>
            <w:r>
              <w:rPr>
                <w:sz w:val="20"/>
              </w:rPr>
              <w:t>El síntoma puede cumplir una función emocional y relacional que necesita ser comprendida.</w:t>
            </w:r>
          </w:p>
          <w:p w14:paraId="5806FCF2" w14:textId="77777777" w:rsidR="00867B03" w:rsidRDefault="00000000">
            <w:pPr>
              <w:pStyle w:val="ListBulletCustom"/>
              <w:spacing w:after="40"/>
              <w:ind w:left="216"/>
            </w:pPr>
            <w:r>
              <w:rPr>
                <w:sz w:val="20"/>
              </w:rPr>
              <w:t>La recuperación nutricional y la estabilidad médica no pueden aplazarse mientras se busca su significado.</w:t>
            </w:r>
          </w:p>
        </w:tc>
      </w:tr>
    </w:tbl>
    <w:p w14:paraId="0EF40D01" w14:textId="77777777" w:rsidR="00867B03" w:rsidRDefault="00867B03">
      <w:pPr>
        <w:spacing w:after="0"/>
      </w:pPr>
    </w:p>
    <w:p w14:paraId="43A3A50C" w14:textId="77777777" w:rsidR="00867B03" w:rsidRDefault="00000000">
      <w:pPr>
        <w:pStyle w:val="Ttulo1"/>
      </w:pPr>
      <w:r>
        <w:t>¿Qué papel desempeñan realmente las redes sociales?</w:t>
      </w:r>
    </w:p>
    <w:p w14:paraId="77FF9459" w14:textId="77777777" w:rsidR="00867B03" w:rsidRDefault="00000000">
      <w:pPr>
        <w:pStyle w:val="BodyTextCustom"/>
        <w:ind w:firstLine="317"/>
      </w:pPr>
      <w:r>
        <w:rPr>
          <w:sz w:val="22"/>
        </w:rPr>
        <w:t>La evidencia disponible señala relaciones consistentes entre determinados patrones de uso de redes, insatisfacción corporal y conductas alimentarias alteradas. Una revisión sistemática centrada en adolescentes encontró asociaciones entre uso de redes, síntomas alimentarios, insatisfacción corporal, ansiedad y depresión, aunque subrayó que todavía se necesitan estudios longitudinales y experimentales para aclarar las vías causales (Blanchard et al., 2023).</w:t>
      </w:r>
    </w:p>
    <w:p w14:paraId="22EB161E" w14:textId="77777777" w:rsidR="00867B03" w:rsidRDefault="00000000">
      <w:pPr>
        <w:pStyle w:val="BodyTextCustom"/>
        <w:ind w:firstLine="317"/>
      </w:pPr>
      <w:r>
        <w:rPr>
          <w:sz w:val="22"/>
        </w:rPr>
        <w:t>En términos clínicos, las redes pueden intervenir de varias maneras:</w:t>
      </w:r>
    </w:p>
    <w:p w14:paraId="2FBC3313" w14:textId="77777777" w:rsidR="00867B03" w:rsidRDefault="00000000">
      <w:pPr>
        <w:pStyle w:val="ListBulletCustom"/>
      </w:pPr>
      <w:r>
        <w:t>Como factor de vulnerabilidad, al favorecer la internalización de ideales corporales rígidos.</w:t>
      </w:r>
    </w:p>
    <w:p w14:paraId="62001FE4" w14:textId="77777777" w:rsidR="00867B03" w:rsidRDefault="00000000">
      <w:pPr>
        <w:pStyle w:val="ListBulletCustom"/>
      </w:pPr>
      <w:r>
        <w:t>Como desencadenante, después de comentarios, burlas, comparaciones o exposición intensa a contenidos de transformación física.</w:t>
      </w:r>
    </w:p>
    <w:p w14:paraId="39D44C50" w14:textId="77777777" w:rsidR="00867B03" w:rsidRDefault="00000000">
      <w:pPr>
        <w:pStyle w:val="ListBulletCustom"/>
      </w:pPr>
      <w:r>
        <w:t>Como mecanismo de mantenimiento, cuando la persona busca compulsivamente dietas, rutinas, cuentas de pérdida de peso o comunidades que normalizan el síntoma.</w:t>
      </w:r>
    </w:p>
    <w:p w14:paraId="208074C7" w14:textId="77777777" w:rsidR="00867B03" w:rsidRDefault="00000000">
      <w:pPr>
        <w:pStyle w:val="ListBulletCustom"/>
      </w:pPr>
      <w:r>
        <w:t>Como espacio de vigilancia, mediante fotografías repetidas, mediciones, conteo de actividad y comprobación corporal.</w:t>
      </w:r>
    </w:p>
    <w:p w14:paraId="7B0CB65A" w14:textId="77777777" w:rsidR="00867B03" w:rsidRDefault="00000000">
      <w:pPr>
        <w:pStyle w:val="ListBulletCustom"/>
      </w:pPr>
      <w:r>
        <w:t>Como fuente de apoyo, cuando facilita información responsable, comunidades de recuperación y contacto con ayuda profesional.</w:t>
      </w:r>
    </w:p>
    <w:p w14:paraId="31BCA683" w14:textId="77777777" w:rsidR="00867B03" w:rsidRDefault="00000000">
      <w:pPr>
        <w:pStyle w:val="BodyTextCustom"/>
        <w:ind w:firstLine="317"/>
      </w:pPr>
      <w:r>
        <w:rPr>
          <w:sz w:val="22"/>
        </w:rPr>
        <w:t xml:space="preserve">Esta última dimensión es importante. Las redes no son únicamente dañinas. Pueden disminuir aislamiento y ofrecer lenguaje para comprender lo que ocurre. El objetivo </w:t>
      </w:r>
      <w:r>
        <w:rPr>
          <w:sz w:val="22"/>
        </w:rPr>
        <w:lastRenderedPageBreak/>
        <w:t>preventivo no debe ser demonizar la tecnología, sino aprender a reconocer qué usos amplían la vida y cuáles estrechan la identidad alrededor del cuerpo, la comida o el peso.</w:t>
      </w:r>
    </w:p>
    <w:p w14:paraId="2D4CC72F" w14:textId="77777777" w:rsidR="00867B03" w:rsidRDefault="00000000">
      <w:pPr>
        <w:pStyle w:val="Ttulo2"/>
      </w:pPr>
      <w:r>
        <w:t>Una reducción de uso puede ayudar, pero no es una receta universal</w:t>
      </w:r>
    </w:p>
    <w:p w14:paraId="75821682" w14:textId="77777777" w:rsidR="00867B03" w:rsidRDefault="00000000">
      <w:pPr>
        <w:pStyle w:val="BodyTextCustom"/>
        <w:ind w:firstLine="317"/>
      </w:pPr>
      <w:r>
        <w:rPr>
          <w:sz w:val="22"/>
        </w:rPr>
        <w:t>En un ensayo aleatorizado con 220 jóvenes de 17 a 25 años que presentaban malestar emocional y uso frecuente de redes, limitar el uso a una hora diaria durante tres semanas produjo mejoras pequeñas pero significativas en la valoración de la apariencia y del peso, en comparación con un grupo sin restricción (Thai et al., 2023).</w:t>
      </w:r>
    </w:p>
    <w:p w14:paraId="1AA68186" w14:textId="77777777" w:rsidR="00867B03" w:rsidRDefault="00000000">
      <w:pPr>
        <w:pStyle w:val="BodyTextCustom"/>
        <w:ind w:firstLine="317"/>
      </w:pPr>
      <w:r>
        <w:rPr>
          <w:sz w:val="22"/>
        </w:rPr>
        <w:t>El hallazgo es prometedor, pero debe interpretarse con cautela: fue una intervención breve, en una muestra específica, y no equivale a un tratamiento para un TCA. Reducir el tiempo puede ser útil para algunas personas; para otras será más importante modificar el contenido, interrumpir la comparación o tratar la ansiedad, el trauma, el perfeccionismo y la dificultad de regulación emocional.</w:t>
      </w:r>
    </w:p>
    <w:p w14:paraId="00C3B4BF" w14:textId="77777777" w:rsidR="00867B03" w:rsidRDefault="00000000">
      <w:pPr>
        <w:pStyle w:val="Ttulo1"/>
      </w:pPr>
      <w:r>
        <w:t>Señales de alerta: qué conviene observar</w:t>
      </w:r>
    </w:p>
    <w:p w14:paraId="6EF9A64D" w14:textId="77777777" w:rsidR="00867B03" w:rsidRDefault="00000000">
      <w:pPr>
        <w:pStyle w:val="BodyTextCustom"/>
        <w:ind w:firstLine="317"/>
      </w:pPr>
      <w:r>
        <w:rPr>
          <w:sz w:val="22"/>
        </w:rPr>
        <w:t>Una sola señal no establece un diagnóstico. Lo relevante es el patrón, la intensidad, la rigidez y el deterioro que produce. Conviene solicitar valoración cuando varias de las siguientes manifestaciones aparecen, aumentan o comienzan a dominar la vida cotidiana.</w:t>
      </w:r>
    </w:p>
    <w:p w14:paraId="7A6DCA89" w14:textId="77777777" w:rsidR="00867B03" w:rsidRDefault="00000000">
      <w:pPr>
        <w:pStyle w:val="Ttulo2"/>
      </w:pPr>
      <w:r>
        <w:t>Cambios emocionales y cognitivos</w:t>
      </w:r>
    </w:p>
    <w:p w14:paraId="60FFEB05" w14:textId="77777777" w:rsidR="00867B03" w:rsidRDefault="00000000">
      <w:pPr>
        <w:pStyle w:val="ListBulletCustom"/>
      </w:pPr>
      <w:r>
        <w:t>Preocupación persistente por peso, forma corporal, calorías, “comer limpio” o compensar lo ingerido.</w:t>
      </w:r>
    </w:p>
    <w:p w14:paraId="54E80564" w14:textId="77777777" w:rsidR="00867B03" w:rsidRDefault="00000000">
      <w:pPr>
        <w:pStyle w:val="ListBulletCustom"/>
      </w:pPr>
      <w:r>
        <w:t>Culpa, vergüenza, ansiedad o irritabilidad después de comer.</w:t>
      </w:r>
    </w:p>
    <w:p w14:paraId="6423C0B7" w14:textId="77777777" w:rsidR="00867B03" w:rsidRDefault="00000000">
      <w:pPr>
        <w:pStyle w:val="ListBulletCustom"/>
      </w:pPr>
      <w:r>
        <w:t>Autoestima cada vez más dependiente de la apariencia, la báscula o la aprobación en línea.</w:t>
      </w:r>
    </w:p>
    <w:p w14:paraId="4AA52231" w14:textId="77777777" w:rsidR="00867B03" w:rsidRDefault="00000000">
      <w:pPr>
        <w:pStyle w:val="ListBulletCustom"/>
      </w:pPr>
      <w:r>
        <w:t>Miedo intenso a aumentar de peso o sensación de estar “fuera de control” con la comida.</w:t>
      </w:r>
    </w:p>
    <w:p w14:paraId="3C1D995A" w14:textId="77777777" w:rsidR="00867B03" w:rsidRDefault="00000000">
      <w:pPr>
        <w:pStyle w:val="ListBulletCustom"/>
      </w:pPr>
      <w:r>
        <w:t>Pensamiento rígido y dicotómico: alimentos buenos o malos, éxito o fracaso, control o descontrol.</w:t>
      </w:r>
    </w:p>
    <w:p w14:paraId="5690EC95" w14:textId="77777777" w:rsidR="00867B03" w:rsidRDefault="00000000">
      <w:pPr>
        <w:pStyle w:val="ListBulletCustom"/>
      </w:pPr>
      <w:r>
        <w:t>Aislamiento, tristeza, pérdida de interés, perfeccionismo extremo o dificultad para concentrarse.</w:t>
      </w:r>
    </w:p>
    <w:p w14:paraId="10D0F6A2" w14:textId="77777777" w:rsidR="00867B03" w:rsidRDefault="00000000">
      <w:pPr>
        <w:pStyle w:val="Ttulo2"/>
      </w:pPr>
      <w:r>
        <w:t>Cambios conductuales y digitales</w:t>
      </w:r>
    </w:p>
    <w:p w14:paraId="3B926AE9" w14:textId="77777777" w:rsidR="00867B03" w:rsidRDefault="00000000">
      <w:pPr>
        <w:pStyle w:val="ListBulletCustom"/>
      </w:pPr>
      <w:r>
        <w:t>Saltarse comidas, reducir grupos completos de alimentos o inventar excusas para no comer con otros.</w:t>
      </w:r>
    </w:p>
    <w:p w14:paraId="7B1C401D" w14:textId="77777777" w:rsidR="00867B03" w:rsidRDefault="00000000">
      <w:pPr>
        <w:pStyle w:val="ListBulletCustom"/>
      </w:pPr>
      <w:r>
        <w:t>Atracones, vómitos, uso de laxantes o diuréticos, ayunos o ejercicio realizado para compensar.</w:t>
      </w:r>
    </w:p>
    <w:p w14:paraId="05D47FB7" w14:textId="77777777" w:rsidR="00867B03" w:rsidRDefault="00000000">
      <w:pPr>
        <w:pStyle w:val="ListBulletCustom"/>
      </w:pPr>
      <w:r>
        <w:t>Pesarse, medirse, fotografiarse o revisar el cuerpo de manera repetitiva.</w:t>
      </w:r>
    </w:p>
    <w:p w14:paraId="4434479A" w14:textId="77777777" w:rsidR="00867B03" w:rsidRDefault="00000000">
      <w:pPr>
        <w:pStyle w:val="ListBulletCustom"/>
      </w:pPr>
      <w:r>
        <w:t>Consultar de forma compulsiva contenido de dietas, “fitspiration”, pérdida de peso o transformación corporal.</w:t>
      </w:r>
    </w:p>
    <w:p w14:paraId="24ABBAA9" w14:textId="77777777" w:rsidR="00867B03" w:rsidRDefault="00000000">
      <w:pPr>
        <w:pStyle w:val="ListBulletCustom"/>
      </w:pPr>
      <w:r>
        <w:t>Ocultar conductas, eliminar historiales, comer en secreto o mostrarse muy defensivo ante preguntas sobre alimentación.</w:t>
      </w:r>
    </w:p>
    <w:p w14:paraId="6B24A575" w14:textId="77777777" w:rsidR="00867B03" w:rsidRDefault="00000000">
      <w:pPr>
        <w:pStyle w:val="ListBulletCustom"/>
      </w:pPr>
      <w:r>
        <w:lastRenderedPageBreak/>
        <w:t>Abandonar actividades sociales porque incluyen comida o porque existe temor a ser visto corporalmente.</w:t>
      </w:r>
    </w:p>
    <w:p w14:paraId="77EC5EF4" w14:textId="77777777" w:rsidR="00867B03" w:rsidRDefault="00000000">
      <w:pPr>
        <w:pStyle w:val="Ttulo2"/>
      </w:pPr>
      <w:r>
        <w:t>Cambios físicos o funcionales</w:t>
      </w:r>
    </w:p>
    <w:p w14:paraId="4203B498" w14:textId="77777777" w:rsidR="00867B03" w:rsidRDefault="00000000">
      <w:pPr>
        <w:pStyle w:val="ListBulletCustom"/>
      </w:pPr>
      <w:r>
        <w:t>Pérdida rápida de peso o fluctuaciones importantes, aunque la persona no se encuentre en un peso bajo.</w:t>
      </w:r>
    </w:p>
    <w:p w14:paraId="23341219" w14:textId="77777777" w:rsidR="00867B03" w:rsidRDefault="00000000">
      <w:pPr>
        <w:pStyle w:val="ListBulletCustom"/>
      </w:pPr>
      <w:r>
        <w:t>Mareo, desmayo, debilidad, frío persistente, fatiga o reducción del rendimiento escolar o laboral.</w:t>
      </w:r>
    </w:p>
    <w:p w14:paraId="1FA70B9F" w14:textId="77777777" w:rsidR="00867B03" w:rsidRDefault="00000000">
      <w:pPr>
        <w:pStyle w:val="ListBulletCustom"/>
      </w:pPr>
      <w:r>
        <w:t>Alteraciones del ciclo menstrual, del sueño o del funcionamiento gastrointestinal.</w:t>
      </w:r>
    </w:p>
    <w:p w14:paraId="667591A0" w14:textId="77777777" w:rsidR="00867B03" w:rsidRDefault="00000000">
      <w:pPr>
        <w:pStyle w:val="ListBulletCustom"/>
      </w:pPr>
      <w:r>
        <w:t>Palpitaciones, dolor torácico, dificultad para mantenerse hidratado o signos de deshidratación.</w:t>
      </w:r>
    </w:p>
    <w:p w14:paraId="4760902D" w14:textId="77777777" w:rsidR="00867B03" w:rsidRDefault="00000000">
      <w:pPr>
        <w:pStyle w:val="ListBulletCustom"/>
      </w:pPr>
      <w:r>
        <w:t>Lesiones por ejercicio excesivo, erosión dental, inflamación de glándulas salivales o lesiones en manos asociadas al vómito.</w:t>
      </w:r>
    </w:p>
    <w:tbl>
      <w:tblPr>
        <w:tblW w:w="0" w:type="auto"/>
        <w:jc w:val="center"/>
        <w:tblLayout w:type="fixed"/>
        <w:tblLook w:val="04A0" w:firstRow="1" w:lastRow="0" w:firstColumn="1" w:lastColumn="0" w:noHBand="0" w:noVBand="1"/>
      </w:tblPr>
      <w:tblGrid>
        <w:gridCol w:w="9878"/>
      </w:tblGrid>
      <w:tr w:rsidR="00867B03" w14:paraId="1CE95197" w14:textId="77777777">
        <w:trPr>
          <w:cantSplit/>
          <w:jc w:val="center"/>
        </w:trPr>
        <w:tc>
          <w:tcPr>
            <w:tcW w:w="9878" w:type="dxa"/>
            <w:tcBorders>
              <w:top w:val="nil"/>
              <w:left w:val="single" w:sz="18" w:space="0" w:color="8B2D2D"/>
              <w:bottom w:val="nil"/>
              <w:right w:val="nil"/>
            </w:tcBorders>
            <w:shd w:val="clear" w:color="auto" w:fill="FCEEEE"/>
            <w:tcMar>
              <w:top w:w="150" w:type="dxa"/>
              <w:left w:w="200" w:type="dxa"/>
              <w:bottom w:w="150" w:type="dxa"/>
              <w:right w:w="200" w:type="dxa"/>
            </w:tcMar>
            <w:vAlign w:val="center"/>
          </w:tcPr>
          <w:p w14:paraId="5E87DB26" w14:textId="77777777" w:rsidR="00867B03" w:rsidRDefault="00000000">
            <w:pPr>
              <w:spacing w:after="100"/>
            </w:pPr>
            <w:r>
              <w:rPr>
                <w:rFonts w:ascii="Noto Sans" w:hAnsi="Noto Sans"/>
                <w:b/>
                <w:color w:val="8B2D2D"/>
                <w:sz w:val="22"/>
              </w:rPr>
              <w:t>No espere a que la persona “se vea enferma”</w:t>
            </w:r>
          </w:p>
          <w:p w14:paraId="1CEF219D" w14:textId="77777777" w:rsidR="00867B03" w:rsidRDefault="00000000">
            <w:pPr>
              <w:spacing w:after="60"/>
            </w:pPr>
            <w:r>
              <w:rPr>
                <w:sz w:val="20"/>
              </w:rPr>
              <w:t>La inestabilidad médica puede presentarse en distintos tamaños corporales. En adolescentes con cuadros restrictivos, la rapidez y magnitud de la pérdida de peso pueden ser indicadores de riesgo incluso cuando no existe bajo peso clínico (Brennan et al., 2023).</w:t>
            </w:r>
          </w:p>
        </w:tc>
      </w:tr>
    </w:tbl>
    <w:p w14:paraId="3DEBC142" w14:textId="77777777" w:rsidR="00867B03" w:rsidRDefault="00867B03">
      <w:pPr>
        <w:spacing w:after="0"/>
      </w:pPr>
    </w:p>
    <w:p w14:paraId="1861CBAF" w14:textId="77777777" w:rsidR="00867B03" w:rsidRDefault="00000000">
      <w:pPr>
        <w:pStyle w:val="Ttulo1"/>
      </w:pPr>
      <w:r>
        <w:t>Cómo acompañar sin aumentar la vergüenza ni el control</w:t>
      </w:r>
    </w:p>
    <w:p w14:paraId="7ACFAFB8" w14:textId="77777777" w:rsidR="00867B03" w:rsidRDefault="00000000">
      <w:pPr>
        <w:pStyle w:val="BodyTextCustom"/>
        <w:ind w:firstLine="317"/>
      </w:pPr>
      <w:r>
        <w:rPr>
          <w:sz w:val="22"/>
        </w:rPr>
        <w:t>Cuando una familia sospecha un TCA, es comprensible que aparezcan miedo, enojo y urgencia. Sin embargo, convertir cada comida en interrogatorio o discutir únicamente sobre peso suele aumentar la defensividad. La firmeza es necesaria, pero debe acompañarse de una actitud que preserve el vínculo.</w:t>
      </w:r>
    </w:p>
    <w:p w14:paraId="0C951A10" w14:textId="77777777" w:rsidR="00867B03" w:rsidRDefault="00000000">
      <w:pPr>
        <w:pStyle w:val="BodyTextCustom"/>
        <w:spacing w:after="80"/>
        <w:ind w:left="403" w:hanging="403"/>
        <w:jc w:val="left"/>
      </w:pPr>
      <w:r>
        <w:rPr>
          <w:rFonts w:ascii="Noto Sans" w:hAnsi="Noto Sans"/>
          <w:b/>
          <w:color w:val="315C5B"/>
          <w:sz w:val="20"/>
        </w:rPr>
        <w:t xml:space="preserve">1.  </w:t>
      </w:r>
      <w:r>
        <w:t>Hable desde la observación, no desde la acusación. Por ejemplo: “He notado que comer te produce mucha angustia y que has dejado de acompañarnos; me preocupa cómo te estás sintiendo”.</w:t>
      </w:r>
    </w:p>
    <w:p w14:paraId="4F1580CC" w14:textId="77777777" w:rsidR="00867B03" w:rsidRDefault="00000000">
      <w:pPr>
        <w:pStyle w:val="BodyTextCustom"/>
        <w:spacing w:after="80"/>
        <w:ind w:left="403" w:hanging="403"/>
        <w:jc w:val="left"/>
      </w:pPr>
      <w:r>
        <w:rPr>
          <w:rFonts w:ascii="Noto Sans" w:hAnsi="Noto Sans"/>
          <w:b/>
          <w:color w:val="315C5B"/>
          <w:sz w:val="20"/>
        </w:rPr>
        <w:t xml:space="preserve">2.  </w:t>
      </w:r>
      <w:r>
        <w:t>Evite elogiar la pérdida de peso o comentar de forma habitual el cuerpo propio y ajeno. Incluso los comentarios aparentemente positivos pueden reforzar que el valor depende de la apariencia.</w:t>
      </w:r>
    </w:p>
    <w:p w14:paraId="06FAF9AA" w14:textId="77777777" w:rsidR="00867B03" w:rsidRDefault="00000000">
      <w:pPr>
        <w:pStyle w:val="BodyTextCustom"/>
        <w:spacing w:after="80"/>
        <w:ind w:left="403" w:hanging="403"/>
        <w:jc w:val="left"/>
      </w:pPr>
      <w:r>
        <w:rPr>
          <w:rFonts w:ascii="Noto Sans" w:hAnsi="Noto Sans"/>
          <w:b/>
          <w:color w:val="315C5B"/>
          <w:sz w:val="20"/>
        </w:rPr>
        <w:t xml:space="preserve">3.  </w:t>
      </w:r>
      <w:r>
        <w:t>No moralice los alimentos. Expresiones como “me porté mal”, “esto engorda” o “tengo que quemarlo” enseñan que comer define el mérito personal.</w:t>
      </w:r>
    </w:p>
    <w:p w14:paraId="6548A348" w14:textId="77777777" w:rsidR="00867B03" w:rsidRDefault="00000000">
      <w:pPr>
        <w:pStyle w:val="BodyTextCustom"/>
        <w:spacing w:after="80"/>
        <w:ind w:left="403" w:hanging="403"/>
        <w:jc w:val="left"/>
      </w:pPr>
      <w:r>
        <w:rPr>
          <w:rFonts w:ascii="Noto Sans" w:hAnsi="Noto Sans"/>
          <w:b/>
          <w:color w:val="315C5B"/>
          <w:sz w:val="20"/>
        </w:rPr>
        <w:t xml:space="preserve">4.  </w:t>
      </w:r>
      <w:r>
        <w:t>Pregunte por la experiencia digital. “¿Cómo te sientes después de ver este contenido?”, “¿qué cuentas te hacen compararte?” y “¿qué aparece repetidamente en tu feed?” suelen abrir más conversación que confiscar el teléfono sin explicación.</w:t>
      </w:r>
    </w:p>
    <w:p w14:paraId="2EACE7A9" w14:textId="77777777" w:rsidR="00867B03" w:rsidRDefault="00000000">
      <w:pPr>
        <w:pStyle w:val="BodyTextCustom"/>
        <w:spacing w:after="80"/>
        <w:ind w:left="403" w:hanging="403"/>
        <w:jc w:val="left"/>
      </w:pPr>
      <w:r>
        <w:rPr>
          <w:rFonts w:ascii="Noto Sans" w:hAnsi="Noto Sans"/>
          <w:b/>
          <w:color w:val="315C5B"/>
          <w:sz w:val="20"/>
        </w:rPr>
        <w:t xml:space="preserve">5.  </w:t>
      </w:r>
      <w:r>
        <w:t>Busque evaluación especializada temprano. No espere a que haya bajo peso, desmayos o deterioro grave para consultar.</w:t>
      </w:r>
    </w:p>
    <w:p w14:paraId="3A400474" w14:textId="77777777" w:rsidR="00867B03" w:rsidRDefault="00000000">
      <w:pPr>
        <w:pStyle w:val="BodyTextCustom"/>
        <w:spacing w:after="80"/>
        <w:ind w:left="403" w:hanging="403"/>
        <w:jc w:val="left"/>
      </w:pPr>
      <w:r>
        <w:rPr>
          <w:rFonts w:ascii="Noto Sans" w:hAnsi="Noto Sans"/>
          <w:b/>
          <w:color w:val="315C5B"/>
          <w:sz w:val="20"/>
        </w:rPr>
        <w:t xml:space="preserve">6.  </w:t>
      </w:r>
      <w:r>
        <w:t>Coordine a los profesionales. La atención puede requerir medicina, nutrición especializada, psicoterapia, psiquiatría y participación familiar, según la edad y la gravedad.</w:t>
      </w:r>
    </w:p>
    <w:p w14:paraId="44F7A99C" w14:textId="77777777" w:rsidR="00867B03" w:rsidRDefault="00000000">
      <w:pPr>
        <w:pStyle w:val="Ttulo1"/>
      </w:pPr>
      <w:r>
        <w:lastRenderedPageBreak/>
        <w:t>Higiene digital: reducir daño sin exigir desconexión total</w:t>
      </w:r>
    </w:p>
    <w:p w14:paraId="6C32ACD9" w14:textId="77777777" w:rsidR="00867B03" w:rsidRDefault="00000000">
      <w:pPr>
        <w:pStyle w:val="BodyTextCustom"/>
        <w:ind w:firstLine="317"/>
      </w:pPr>
      <w:r>
        <w:rPr>
          <w:sz w:val="22"/>
        </w:rPr>
        <w:t>La abstinencia completa de redes no siempre es realista ni necesaria. Una estrategia de reducción de daño busca que la persona recupere capacidad de elección y disminuya los usos que intensifican el malestar. Mazzeo et al. (2024) destacan la utilidad de intervenciones sensibles a la edad y al contexto, centradas no solo en el tiempo, sino también en el contenido y en las habilidades críticas.</w:t>
      </w:r>
    </w:p>
    <w:p w14:paraId="6F1DDF3D" w14:textId="77777777" w:rsidR="00867B03" w:rsidRDefault="00000000">
      <w:pPr>
        <w:pStyle w:val="BodyTextCustom"/>
        <w:spacing w:after="80"/>
        <w:ind w:left="403" w:hanging="403"/>
        <w:jc w:val="left"/>
      </w:pPr>
      <w:r>
        <w:rPr>
          <w:rFonts w:ascii="Noto Sans" w:hAnsi="Noto Sans"/>
          <w:b/>
          <w:color w:val="315C5B"/>
          <w:sz w:val="20"/>
        </w:rPr>
        <w:t xml:space="preserve">1.  </w:t>
      </w:r>
      <w:r>
        <w:t>Auditar el feed. Identificar qué cuentas generan vergüenza, urgencia por cambiar el cuerpo, culpa alimentaria o deseo de compensar.</w:t>
      </w:r>
    </w:p>
    <w:p w14:paraId="680A2244" w14:textId="77777777" w:rsidR="00867B03" w:rsidRDefault="00000000">
      <w:pPr>
        <w:pStyle w:val="BodyTextCustom"/>
        <w:spacing w:after="80"/>
        <w:ind w:left="403" w:hanging="403"/>
        <w:jc w:val="left"/>
      </w:pPr>
      <w:r>
        <w:rPr>
          <w:rFonts w:ascii="Noto Sans" w:hAnsi="Noto Sans"/>
          <w:b/>
          <w:color w:val="315C5B"/>
          <w:sz w:val="20"/>
        </w:rPr>
        <w:t xml:space="preserve">2.  </w:t>
      </w:r>
      <w:r>
        <w:t>Silenciar, dejar de seguir y reportar. No es necesario justificar la permanencia de contenido que deteriora la salud mental.</w:t>
      </w:r>
    </w:p>
    <w:p w14:paraId="67D17553" w14:textId="77777777" w:rsidR="00867B03" w:rsidRDefault="00000000">
      <w:pPr>
        <w:pStyle w:val="BodyTextCustom"/>
        <w:spacing w:after="80"/>
        <w:ind w:left="403" w:hanging="403"/>
        <w:jc w:val="left"/>
      </w:pPr>
      <w:r>
        <w:rPr>
          <w:rFonts w:ascii="Noto Sans" w:hAnsi="Noto Sans"/>
          <w:b/>
          <w:color w:val="315C5B"/>
          <w:sz w:val="20"/>
        </w:rPr>
        <w:t xml:space="preserve">3.  </w:t>
      </w:r>
      <w:r>
        <w:t>Diversificar las imágenes. Seguir cuerpos, edades, capacidades, intereses y estilos de vida variados reduce la ilusión de que existe una sola forma corporal aceptable.</w:t>
      </w:r>
    </w:p>
    <w:p w14:paraId="698EDD32" w14:textId="77777777" w:rsidR="00867B03" w:rsidRDefault="00000000">
      <w:pPr>
        <w:pStyle w:val="BodyTextCustom"/>
        <w:spacing w:after="80"/>
        <w:ind w:left="403" w:hanging="403"/>
        <w:jc w:val="left"/>
      </w:pPr>
      <w:r>
        <w:rPr>
          <w:rFonts w:ascii="Noto Sans" w:hAnsi="Noto Sans"/>
          <w:b/>
          <w:color w:val="315C5B"/>
          <w:sz w:val="20"/>
        </w:rPr>
        <w:t xml:space="preserve">4.  </w:t>
      </w:r>
      <w:r>
        <w:t>Observar el efecto, no solo el contenido. Preguntarse: “¿cómo me siento antes y después de usar esta red?”, “¿salgo con más libertad o con más vigilancia?”.</w:t>
      </w:r>
    </w:p>
    <w:p w14:paraId="28C8C485" w14:textId="77777777" w:rsidR="00867B03" w:rsidRDefault="00000000">
      <w:pPr>
        <w:pStyle w:val="BodyTextCustom"/>
        <w:spacing w:after="80"/>
        <w:ind w:left="403" w:hanging="403"/>
        <w:jc w:val="left"/>
      </w:pPr>
      <w:r>
        <w:rPr>
          <w:rFonts w:ascii="Noto Sans" w:hAnsi="Noto Sans"/>
          <w:b/>
          <w:color w:val="315C5B"/>
          <w:sz w:val="20"/>
        </w:rPr>
        <w:t xml:space="preserve">5.  </w:t>
      </w:r>
      <w:r>
        <w:t>Proteger momentos básicos. Comer, dormir, estudiar, convivir y descansar sin exposición simultánea a contenido corporal ayuda a recuperar presencia.</w:t>
      </w:r>
    </w:p>
    <w:p w14:paraId="3927F7BC" w14:textId="77777777" w:rsidR="00867B03" w:rsidRDefault="00000000">
      <w:pPr>
        <w:pStyle w:val="BodyTextCustom"/>
        <w:spacing w:after="80"/>
        <w:ind w:left="403" w:hanging="403"/>
        <w:jc w:val="left"/>
      </w:pPr>
      <w:r>
        <w:rPr>
          <w:rFonts w:ascii="Noto Sans" w:hAnsi="Noto Sans"/>
          <w:b/>
          <w:color w:val="315C5B"/>
          <w:sz w:val="20"/>
        </w:rPr>
        <w:t xml:space="preserve">6.  </w:t>
      </w:r>
      <w:r>
        <w:t>Desarrollar alfabetización mediática. Preguntar qué está editado, qué se vende, qué interés comercial existe y qué emoción busca provocar la publicación.</w:t>
      </w:r>
    </w:p>
    <w:p w14:paraId="4D57C3D5" w14:textId="77777777" w:rsidR="00867B03" w:rsidRDefault="00000000">
      <w:pPr>
        <w:pStyle w:val="BodyTextCustom"/>
        <w:spacing w:after="80"/>
        <w:ind w:left="403" w:hanging="403"/>
        <w:jc w:val="left"/>
      </w:pPr>
      <w:r>
        <w:rPr>
          <w:rFonts w:ascii="Noto Sans" w:hAnsi="Noto Sans"/>
          <w:b/>
          <w:color w:val="315C5B"/>
          <w:sz w:val="20"/>
        </w:rPr>
        <w:t xml:space="preserve">7.  </w:t>
      </w:r>
      <w:r>
        <w:t>Ampliar la identidad. Fortalecer vínculos, creatividad, estudio, trabajo, espiritualidad, juego, descanso y proyectos que no dependan de la apariencia.</w:t>
      </w:r>
    </w:p>
    <w:tbl>
      <w:tblPr>
        <w:tblW w:w="0" w:type="auto"/>
        <w:jc w:val="center"/>
        <w:tblLayout w:type="fixed"/>
        <w:tblLook w:val="04A0" w:firstRow="1" w:lastRow="0" w:firstColumn="1" w:lastColumn="0" w:noHBand="0" w:noVBand="1"/>
      </w:tblPr>
      <w:tblGrid>
        <w:gridCol w:w="9878"/>
      </w:tblGrid>
      <w:tr w:rsidR="00867B03" w14:paraId="325BA096" w14:textId="77777777">
        <w:trPr>
          <w:cantSplit/>
          <w:jc w:val="center"/>
        </w:trPr>
        <w:tc>
          <w:tcPr>
            <w:tcW w:w="9878" w:type="dxa"/>
            <w:tcBorders>
              <w:top w:val="nil"/>
              <w:left w:val="single" w:sz="18" w:space="0" w:color="315C5B"/>
              <w:bottom w:val="nil"/>
              <w:right w:val="nil"/>
            </w:tcBorders>
            <w:shd w:val="clear" w:color="auto" w:fill="EAF2F1"/>
            <w:tcMar>
              <w:top w:w="150" w:type="dxa"/>
              <w:left w:w="200" w:type="dxa"/>
              <w:bottom w:w="150" w:type="dxa"/>
              <w:right w:w="200" w:type="dxa"/>
            </w:tcMar>
            <w:vAlign w:val="center"/>
          </w:tcPr>
          <w:p w14:paraId="3B00A8BB" w14:textId="77777777" w:rsidR="00867B03" w:rsidRDefault="00000000">
            <w:pPr>
              <w:spacing w:after="100"/>
            </w:pPr>
            <w:r>
              <w:rPr>
                <w:rFonts w:ascii="Noto Sans" w:hAnsi="Noto Sans"/>
                <w:b/>
                <w:color w:val="315C5B"/>
                <w:sz w:val="22"/>
              </w:rPr>
              <w:t>Neutralidad corporal antes que positividad forzada</w:t>
            </w:r>
          </w:p>
          <w:p w14:paraId="2355EC6C" w14:textId="77777777" w:rsidR="00867B03" w:rsidRDefault="00000000">
            <w:pPr>
              <w:spacing w:after="60"/>
            </w:pPr>
            <w:r>
              <w:rPr>
                <w:sz w:val="20"/>
              </w:rPr>
              <w:t>No siempre es posible “amar el cuerpo” de inmediato. Un objetivo más realista puede ser dejar de atacarlo, reconocer sus funciones y aprender a cuidarlo aunque la percepción de la imagen fluctúe.</w:t>
            </w:r>
          </w:p>
        </w:tc>
      </w:tr>
    </w:tbl>
    <w:p w14:paraId="002C5A8F" w14:textId="77777777" w:rsidR="00867B03" w:rsidRDefault="00867B03">
      <w:pPr>
        <w:spacing w:after="0"/>
      </w:pPr>
    </w:p>
    <w:p w14:paraId="409ADF0A" w14:textId="77777777" w:rsidR="00867B03" w:rsidRDefault="00000000">
      <w:pPr>
        <w:pStyle w:val="Ttulo1"/>
      </w:pPr>
      <w:r>
        <w:t>El tratamiento debe ir más allá de la comida, pero no puede prescindir de ella</w:t>
      </w:r>
    </w:p>
    <w:p w14:paraId="106B5A3B" w14:textId="77777777" w:rsidR="00867B03" w:rsidRDefault="00000000">
      <w:pPr>
        <w:pStyle w:val="BodyTextCustom"/>
        <w:ind w:firstLine="317"/>
      </w:pPr>
      <w:r>
        <w:rPr>
          <w:sz w:val="22"/>
        </w:rPr>
        <w:t>Una atención adecuada no obliga a elegir entre “tratar el cuerpo” o “tratar la mente”. Los TCA comprometen ambos. La recuperación nutricional, la vigilancia médica y la interrupción de conductas peligrosas son parte central del tratamiento; también lo son el trabajo con emociones, relaciones, identidad, trauma, perfeccionismo y significado del síntoma.</w:t>
      </w:r>
    </w:p>
    <w:p w14:paraId="017131E6" w14:textId="77777777" w:rsidR="00867B03" w:rsidRDefault="00000000">
      <w:pPr>
        <w:pStyle w:val="BodyTextCustom"/>
        <w:ind w:firstLine="317"/>
      </w:pPr>
      <w:r>
        <w:rPr>
          <w:sz w:val="22"/>
        </w:rPr>
        <w:t>Desde una mirada psicoterapéutica, resulta importante explorar qué ocurre antes y después de restringir, atracarse, purgarse o ejercitarse; qué estados internos se vuelven intolerables; cómo se vive la mirada de los demás; qué lugar ocupa el control; y de qué manera la persona aprendió a relacionarse con sus necesidades, su cuerpo y su deseo.</w:t>
      </w:r>
    </w:p>
    <w:p w14:paraId="6E93FB53" w14:textId="77777777" w:rsidR="00867B03" w:rsidRDefault="00000000">
      <w:pPr>
        <w:pStyle w:val="BodyTextCustom"/>
        <w:ind w:firstLine="317"/>
      </w:pPr>
      <w:r>
        <w:rPr>
          <w:sz w:val="22"/>
        </w:rPr>
        <w:lastRenderedPageBreak/>
        <w:t>El encuadre debe ajustarse a la edad y al cuadro clínico. En niños y adolescentes, la familia suele ser un recurso terapéutico indispensable. En adultos, también puede ser útil incluir a personas significativas, siempre que exista consentimiento y que la participación favorezca la recuperación.</w:t>
      </w:r>
    </w:p>
    <w:p w14:paraId="3E1D96E4" w14:textId="77777777" w:rsidR="00867B03" w:rsidRDefault="00000000">
      <w:pPr>
        <w:pStyle w:val="BodyTextCustom"/>
        <w:ind w:firstLine="317"/>
      </w:pPr>
      <w:r>
        <w:rPr>
          <w:sz w:val="22"/>
        </w:rPr>
        <w:t>La intervención psicológica no debe utilizarse para posponer la estabilización médica. Cuando hay desnutrición, purgas frecuentes, alteraciones electrolíticas, compromiso cardiovascular o riesgo suicida, la prioridad es la seguridad. El trabajo profundo sobre el vacío, el trauma o la identidad se sostiene mejor cuando el cerebro y el cuerpo reciben nutrición suficiente.</w:t>
      </w:r>
    </w:p>
    <w:p w14:paraId="103271E3" w14:textId="77777777" w:rsidR="00867B03" w:rsidRDefault="00000000">
      <w:pPr>
        <w:pStyle w:val="Ttulo1"/>
      </w:pPr>
      <w:r>
        <w:t>Cuándo buscar atención urgente</w:t>
      </w:r>
    </w:p>
    <w:p w14:paraId="7A47C8C2" w14:textId="77777777" w:rsidR="00867B03" w:rsidRDefault="00000000">
      <w:pPr>
        <w:pStyle w:val="BodyTextCustom"/>
        <w:ind w:firstLine="317"/>
      </w:pPr>
      <w:r>
        <w:rPr>
          <w:sz w:val="22"/>
        </w:rPr>
        <w:t>Se requiere valoración médica urgente o atención de emergencia ante desmayo o casi desmayo, dolor de pecho, palpitaciones intensas, confusión, debilidad marcada, deshidratación, incapacidad para retener líquidos, vómito con sangre, purgas repetidas e incontrolables, convulsiones, ideación suicida, autolesiones o deterioro rápido. Las guías clínicas recomiendan atención aguda cuando existe desnutrición grave, deshidratación o alteraciones electrolíticas importantes (National Institute for Health and Care Excellence, 2017).</w:t>
      </w:r>
    </w:p>
    <w:tbl>
      <w:tblPr>
        <w:tblW w:w="0" w:type="auto"/>
        <w:jc w:val="center"/>
        <w:tblLayout w:type="fixed"/>
        <w:tblLook w:val="04A0" w:firstRow="1" w:lastRow="0" w:firstColumn="1" w:lastColumn="0" w:noHBand="0" w:noVBand="1"/>
      </w:tblPr>
      <w:tblGrid>
        <w:gridCol w:w="9878"/>
      </w:tblGrid>
      <w:tr w:rsidR="00867B03" w14:paraId="124A3686" w14:textId="77777777">
        <w:trPr>
          <w:cantSplit/>
          <w:jc w:val="center"/>
        </w:trPr>
        <w:tc>
          <w:tcPr>
            <w:tcW w:w="9878" w:type="dxa"/>
            <w:tcBorders>
              <w:top w:val="nil"/>
              <w:left w:val="single" w:sz="18" w:space="0" w:color="8B2D2D"/>
              <w:bottom w:val="nil"/>
              <w:right w:val="nil"/>
            </w:tcBorders>
            <w:shd w:val="clear" w:color="auto" w:fill="FCEEEE"/>
            <w:tcMar>
              <w:top w:w="150" w:type="dxa"/>
              <w:left w:w="200" w:type="dxa"/>
              <w:bottom w:w="150" w:type="dxa"/>
              <w:right w:w="200" w:type="dxa"/>
            </w:tcMar>
            <w:vAlign w:val="center"/>
          </w:tcPr>
          <w:p w14:paraId="2EEDBCA1" w14:textId="77777777" w:rsidR="00867B03" w:rsidRDefault="00000000">
            <w:pPr>
              <w:spacing w:after="100"/>
            </w:pPr>
            <w:r>
              <w:rPr>
                <w:rFonts w:ascii="Noto Sans" w:hAnsi="Noto Sans"/>
                <w:b/>
                <w:color w:val="8B2D2D"/>
                <w:sz w:val="22"/>
              </w:rPr>
              <w:t>Ante una emergencia</w:t>
            </w:r>
          </w:p>
          <w:p w14:paraId="716A3398" w14:textId="77777777" w:rsidR="00867B03" w:rsidRDefault="00000000">
            <w:pPr>
              <w:spacing w:after="60"/>
            </w:pPr>
            <w:r>
              <w:rPr>
                <w:sz w:val="20"/>
              </w:rPr>
              <w:t>Acuda al servicio de urgencias más cercano o contacte los servicios de emergencia de su localidad. Un artículo informativo no sustituye la evaluación presencial.</w:t>
            </w:r>
          </w:p>
        </w:tc>
      </w:tr>
    </w:tbl>
    <w:p w14:paraId="441A6029" w14:textId="77777777" w:rsidR="00867B03" w:rsidRDefault="00867B03">
      <w:pPr>
        <w:spacing w:after="0"/>
      </w:pPr>
    </w:p>
    <w:p w14:paraId="42E7E88D" w14:textId="77777777" w:rsidR="00867B03" w:rsidRDefault="00000000">
      <w:pPr>
        <w:pStyle w:val="Ttulo1"/>
      </w:pPr>
      <w:r>
        <w:t>Recuperar el cuerpo como hogar</w:t>
      </w:r>
    </w:p>
    <w:p w14:paraId="55D13307" w14:textId="77777777" w:rsidR="00867B03" w:rsidRDefault="00000000">
      <w:pPr>
        <w:pStyle w:val="BodyTextCustom"/>
        <w:ind w:firstLine="317"/>
      </w:pPr>
      <w:r>
        <w:rPr>
          <w:sz w:val="22"/>
        </w:rPr>
        <w:t>Los trastornos de la conducta alimentaria en la era digital son fenómenos complejos en los que convergen cultura, biología, vínculos, historia personal y sufrimiento psíquico. Las redes sociales no explican por sí solas estos padecimientos, pero pueden intensificar la comparación, la exigencia estética y la dependencia de la mirada ajena.</w:t>
      </w:r>
    </w:p>
    <w:p w14:paraId="559F6A29" w14:textId="77777777" w:rsidR="00867B03" w:rsidRDefault="00000000">
      <w:pPr>
        <w:pStyle w:val="BodyTextCustom"/>
        <w:ind w:firstLine="317"/>
      </w:pPr>
      <w:r>
        <w:rPr>
          <w:sz w:val="22"/>
        </w:rPr>
        <w:t>Por ello, el abordaje no puede limitarse a corregir una conducta observable ni a retirar un dispositivo. Es necesario comprender qué expresa el síntoma, restaurar la seguridad física, promover una lectura crítica de la cultura digital y construir espacios donde la experiencia pueda ser nombrada sin juicio.</w:t>
      </w:r>
    </w:p>
    <w:p w14:paraId="5FB87FD5" w14:textId="77777777" w:rsidR="00867B03" w:rsidRDefault="00000000">
      <w:pPr>
        <w:pStyle w:val="BodyTextCustom"/>
        <w:ind w:firstLine="317"/>
      </w:pPr>
      <w:r>
        <w:rPr>
          <w:sz w:val="22"/>
        </w:rPr>
        <w:t>Recuperarse no significa sentirse satisfecho con cada aspecto del cuerpo todos los días. Significa que la comida, el peso y la imagen dejan de organizar toda la vida; que el cuerpo puede ser cuidado sin convertirse en enemigo; y que la identidad recupera dimensiones que habían quedado eclipsadas por la vigilancia y el control.</w:t>
      </w:r>
    </w:p>
    <w:tbl>
      <w:tblPr>
        <w:tblW w:w="0" w:type="auto"/>
        <w:jc w:val="center"/>
        <w:tblLayout w:type="fixed"/>
        <w:tblLook w:val="04A0" w:firstRow="1" w:lastRow="0" w:firstColumn="1" w:lastColumn="0" w:noHBand="0" w:noVBand="1"/>
      </w:tblPr>
      <w:tblGrid>
        <w:gridCol w:w="9878"/>
      </w:tblGrid>
      <w:tr w:rsidR="00867B03" w14:paraId="41B375CC" w14:textId="77777777">
        <w:trPr>
          <w:cantSplit/>
          <w:jc w:val="center"/>
        </w:trPr>
        <w:tc>
          <w:tcPr>
            <w:tcW w:w="9878" w:type="dxa"/>
            <w:tcBorders>
              <w:top w:val="single" w:sz="8" w:space="0" w:color="B77B8F"/>
              <w:left w:val="nil"/>
              <w:bottom w:val="single" w:sz="8" w:space="0" w:color="B77B8F"/>
              <w:right w:val="nil"/>
            </w:tcBorders>
            <w:shd w:val="clear" w:color="auto" w:fill="FBF8F9"/>
            <w:tcMar>
              <w:top w:w="170" w:type="dxa"/>
              <w:left w:w="260" w:type="dxa"/>
              <w:bottom w:w="170" w:type="dxa"/>
              <w:right w:w="260" w:type="dxa"/>
            </w:tcMar>
          </w:tcPr>
          <w:p w14:paraId="440CFF85" w14:textId="77777777" w:rsidR="00867B03" w:rsidRDefault="00000000">
            <w:pPr>
              <w:jc w:val="center"/>
            </w:pPr>
            <w:r>
              <w:rPr>
                <w:i/>
                <w:color w:val="5B2D43"/>
                <w:sz w:val="24"/>
              </w:rPr>
              <w:lastRenderedPageBreak/>
              <w:t>“El objetivo no es producir un cuerpo perfecto, sino recuperar un cuerpo habitable: un lugar desde el cual vivir, vincularse, sentir y desear.”</w:t>
            </w:r>
          </w:p>
        </w:tc>
      </w:tr>
    </w:tbl>
    <w:p w14:paraId="1CBADCD7" w14:textId="77777777" w:rsidR="00867B03" w:rsidRDefault="00867B03">
      <w:pPr>
        <w:spacing w:after="0"/>
      </w:pPr>
    </w:p>
    <w:p w14:paraId="47B6F3C1" w14:textId="77777777" w:rsidR="00867B03" w:rsidRDefault="00000000">
      <w:pPr>
        <w:pStyle w:val="Ttulo1"/>
      </w:pPr>
      <w:r>
        <w:t>Invitación a consulta</w:t>
      </w:r>
    </w:p>
    <w:p w14:paraId="50B2102C" w14:textId="77777777" w:rsidR="00867B03" w:rsidRDefault="00000000">
      <w:pPr>
        <w:pStyle w:val="BodyTextCustom"/>
      </w:pPr>
      <w:r>
        <w:rPr>
          <w:sz w:val="22"/>
        </w:rPr>
        <w:t>Si la preocupación por la comida, el peso, el ejercicio o la imagen corporal está ocupando cada vez más espacio, buscar ayuda temprana es una medida de cuidado, no una exageración. Una evaluación clínica puede esclarecer la gravedad, identificar riesgos médicos y diseñar un plan de tratamiento acorde con la historia y las necesidades de la persona.</w:t>
      </w:r>
    </w:p>
    <w:tbl>
      <w:tblPr>
        <w:tblW w:w="0" w:type="auto"/>
        <w:jc w:val="center"/>
        <w:tblLayout w:type="fixed"/>
        <w:tblLook w:val="04A0" w:firstRow="1" w:lastRow="0" w:firstColumn="1" w:lastColumn="0" w:noHBand="0" w:noVBand="1"/>
      </w:tblPr>
      <w:tblGrid>
        <w:gridCol w:w="9878"/>
      </w:tblGrid>
      <w:tr w:rsidR="00867B03" w14:paraId="2EB39516" w14:textId="77777777">
        <w:trPr>
          <w:cantSplit/>
          <w:jc w:val="center"/>
        </w:trPr>
        <w:tc>
          <w:tcPr>
            <w:tcW w:w="9878" w:type="dxa"/>
            <w:tcBorders>
              <w:top w:val="nil"/>
              <w:left w:val="single" w:sz="18" w:space="0" w:color="5B2D43"/>
              <w:bottom w:val="nil"/>
              <w:right w:val="nil"/>
            </w:tcBorders>
            <w:shd w:val="clear" w:color="auto" w:fill="F6EEF1"/>
            <w:tcMar>
              <w:top w:w="150" w:type="dxa"/>
              <w:left w:w="200" w:type="dxa"/>
              <w:bottom w:w="150" w:type="dxa"/>
              <w:right w:w="200" w:type="dxa"/>
            </w:tcMar>
            <w:vAlign w:val="center"/>
          </w:tcPr>
          <w:p w14:paraId="5A2358C0" w14:textId="77777777" w:rsidR="00867B03" w:rsidRDefault="00000000">
            <w:pPr>
              <w:spacing w:after="100"/>
            </w:pPr>
            <w:r>
              <w:rPr>
                <w:rFonts w:ascii="Noto Sans" w:hAnsi="Noto Sans"/>
                <w:b/>
                <w:color w:val="5B2D43"/>
                <w:sz w:val="22"/>
              </w:rPr>
              <w:t>Mensaje para la página web</w:t>
            </w:r>
          </w:p>
          <w:p w14:paraId="1910A5C1" w14:textId="673E1602" w:rsidR="00867B03" w:rsidRDefault="00000000">
            <w:pPr>
              <w:spacing w:after="60"/>
            </w:pPr>
            <w:r>
              <w:rPr>
                <w:sz w:val="20"/>
              </w:rPr>
              <w:t xml:space="preserve">La atención de los TCA requiere una mirada especializada e interdisciplinaria. </w:t>
            </w:r>
          </w:p>
        </w:tc>
      </w:tr>
    </w:tbl>
    <w:p w14:paraId="3A6B3AC5" w14:textId="77777777" w:rsidR="00867B03" w:rsidRDefault="00867B03">
      <w:pPr>
        <w:spacing w:after="0"/>
      </w:pPr>
    </w:p>
    <w:p w14:paraId="0D616330" w14:textId="77777777" w:rsidR="00867B03" w:rsidRDefault="00000000">
      <w:r>
        <w:rPr>
          <w:rFonts w:ascii="Noto Sans" w:hAnsi="Noto Sans"/>
          <w:b/>
          <w:color w:val="B77B8F"/>
          <w:sz w:val="20"/>
        </w:rPr>
        <w:t>REFERENCIAS</w:t>
      </w:r>
    </w:p>
    <w:p w14:paraId="0B6E92DE" w14:textId="77777777" w:rsidR="00867B03" w:rsidRDefault="00000000">
      <w:pPr>
        <w:pStyle w:val="Reference"/>
        <w:spacing w:after="60"/>
        <w:ind w:left="432" w:hanging="432"/>
      </w:pPr>
      <w:r>
        <w:t>Escalante Ruíz, N. F. (s. f.). TCA en la era digital: Redes sociales, influencers y cultura de la imagen [Material académico].</w:t>
      </w:r>
    </w:p>
    <w:p w14:paraId="2C04F982" w14:textId="77777777" w:rsidR="00867B03" w:rsidRDefault="00000000">
      <w:pPr>
        <w:pStyle w:val="Reference"/>
        <w:spacing w:after="60"/>
        <w:ind w:left="432" w:hanging="432"/>
      </w:pPr>
      <w:r>
        <w:t>Han, B.-C. (2014). Psicopolítica: Neoliberalismo y nuevas técnicas de poder. Herder.</w:t>
      </w:r>
    </w:p>
    <w:p w14:paraId="55E4C62B" w14:textId="77777777" w:rsidR="00867B03" w:rsidRDefault="00000000">
      <w:pPr>
        <w:pStyle w:val="Reference"/>
        <w:spacing w:after="60"/>
        <w:ind w:left="432" w:hanging="432"/>
      </w:pPr>
      <w:r>
        <w:t xml:space="preserve">Mazzeo, S. E., Weinstock, M., Vashro, T. N., Henning, T., &amp; Derrigo, K. (2024). Mitigating harms of social media for adolescent body image and eating disorders: A review. Psychology Research and Behavior Management, 17, 2587–2601. </w:t>
      </w:r>
      <w:hyperlink r:id="rId8">
        <w:r>
          <w:rPr>
            <w:color w:val="315C5B"/>
            <w:u w:val="single"/>
          </w:rPr>
          <w:t>https://doi.org/10.2147/PRBM.S410600</w:t>
        </w:r>
      </w:hyperlink>
    </w:p>
    <w:p w14:paraId="44934693" w14:textId="77777777" w:rsidR="00867B03" w:rsidRDefault="00000000">
      <w:pPr>
        <w:pStyle w:val="Reference"/>
        <w:spacing w:after="60"/>
        <w:ind w:left="432" w:hanging="432"/>
      </w:pPr>
      <w:r>
        <w:t>McDougall, J. (1989). Teatros del cuerpo: Un enfoque psicoanalítico de los trastornos psicosomáticos. Paidós.</w:t>
      </w:r>
    </w:p>
    <w:p w14:paraId="61073EE8" w14:textId="77777777" w:rsidR="00867B03" w:rsidRDefault="00000000">
      <w:pPr>
        <w:pStyle w:val="Reference"/>
        <w:spacing w:after="60"/>
        <w:ind w:left="432" w:hanging="432"/>
      </w:pPr>
      <w:r>
        <w:t xml:space="preserve">National Institute for Health and Care Excellence. (2017). Eating disorders: Recognition and treatment (NICE Guideline NG69). </w:t>
      </w:r>
      <w:hyperlink r:id="rId9">
        <w:r>
          <w:rPr>
            <w:color w:val="315C5B"/>
            <w:u w:val="single"/>
          </w:rPr>
          <w:t>https://www.nice.org.uk/guidance/ng69</w:t>
        </w:r>
      </w:hyperlink>
    </w:p>
    <w:p w14:paraId="6E052B63" w14:textId="77777777" w:rsidR="00867B03" w:rsidRDefault="00000000">
      <w:pPr>
        <w:pStyle w:val="Reference"/>
        <w:spacing w:after="60"/>
        <w:ind w:left="432" w:hanging="432"/>
      </w:pPr>
      <w:r>
        <w:t>Recalcati, M. (2014). El complejo de Telémaco: Padres e hijos tras el ocaso del progenitor. Anagrama.</w:t>
      </w:r>
    </w:p>
    <w:p w14:paraId="575E5E63" w14:textId="77777777" w:rsidR="00867B03" w:rsidRDefault="00000000">
      <w:pPr>
        <w:pStyle w:val="Reference"/>
        <w:spacing w:after="60"/>
        <w:ind w:left="432" w:hanging="432"/>
      </w:pPr>
      <w:r>
        <w:t xml:space="preserve">Thai, H., Davis, C. G., Mahboob, W., Perry, S., Adams, A., &amp; Goldfield, G. S. (2023). Reducing social media use improves appearance and weight esteem in youth with emotional distress. Psychology of Popular Media, 13(1), 162–169. </w:t>
      </w:r>
      <w:hyperlink r:id="rId10">
        <w:r>
          <w:rPr>
            <w:color w:val="315C5B"/>
            <w:u w:val="single"/>
          </w:rPr>
          <w:t>https://doi.org/10.1037/ppm0000460</w:t>
        </w:r>
      </w:hyperlink>
    </w:p>
    <w:p w14:paraId="5A57EBAF" w14:textId="77777777" w:rsidR="00867B03" w:rsidRDefault="00000000">
      <w:pPr>
        <w:pStyle w:val="Reference"/>
        <w:spacing w:after="60"/>
        <w:ind w:left="432" w:hanging="432"/>
      </w:pPr>
      <w:r>
        <w:t>Winnicott, D. W. (1993). Realidad y juego. Gedisa.</w:t>
      </w:r>
    </w:p>
    <w:p w14:paraId="39484592" w14:textId="53DF34C0" w:rsidR="00867B03" w:rsidRDefault="00867B03">
      <w:pPr>
        <w:pStyle w:val="BodyTextCustom"/>
        <w:spacing w:after="80" w:line="252" w:lineRule="auto"/>
      </w:pPr>
    </w:p>
    <w:sectPr w:rsidR="00867B03" w:rsidSect="00034616">
      <w:headerReference w:type="default" r:id="rId11"/>
      <w:footerReference w:type="default" r:id="rId12"/>
      <w:footerReference w:type="first" r:id="rId13"/>
      <w:pgSz w:w="12240" w:h="15840"/>
      <w:pgMar w:top="1037" w:right="1181" w:bottom="979" w:left="1181"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17266" w14:textId="77777777" w:rsidR="00094B15" w:rsidRDefault="00094B15">
      <w:pPr>
        <w:spacing w:after="0" w:line="240" w:lineRule="auto"/>
      </w:pPr>
      <w:r>
        <w:separator/>
      </w:r>
    </w:p>
  </w:endnote>
  <w:endnote w:type="continuationSeparator" w:id="0">
    <w:p w14:paraId="4A251CDE" w14:textId="77777777" w:rsidR="00094B15" w:rsidRDefault="00094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AF2D" w14:textId="77777777" w:rsidR="00867B03" w:rsidRDefault="00000000">
    <w:pPr>
      <w:pStyle w:val="Piedepgina"/>
      <w:jc w:val="right"/>
    </w:pPr>
    <w:proofErr w:type="spellStart"/>
    <w:r>
      <w:rPr>
        <w:rFonts w:ascii="Noto Sans" w:hAnsi="Noto Sans"/>
        <w:color w:val="666666"/>
        <w:sz w:val="16"/>
      </w:rPr>
      <w:t>Artículo</w:t>
    </w:r>
    <w:proofErr w:type="spellEnd"/>
    <w:r>
      <w:rPr>
        <w:rFonts w:ascii="Noto Sans" w:hAnsi="Noto Sans"/>
        <w:color w:val="666666"/>
        <w:sz w:val="16"/>
      </w:rPr>
      <w:t xml:space="preserve"> </w:t>
    </w:r>
    <w:proofErr w:type="spellStart"/>
    <w:r>
      <w:rPr>
        <w:rFonts w:ascii="Noto Sans" w:hAnsi="Noto Sans"/>
        <w:color w:val="666666"/>
        <w:sz w:val="16"/>
      </w:rPr>
      <w:t>profesional</w:t>
    </w:r>
    <w:proofErr w:type="spellEnd"/>
    <w:r>
      <w:rPr>
        <w:rFonts w:ascii="Noto Sans" w:hAnsi="Noto Sans"/>
        <w:color w:val="666666"/>
        <w:sz w:val="16"/>
      </w:rPr>
      <w:t xml:space="preserve"> para </w:t>
    </w:r>
    <w:proofErr w:type="gramStart"/>
    <w:r>
      <w:rPr>
        <w:rFonts w:ascii="Noto Sans" w:hAnsi="Noto Sans"/>
        <w:color w:val="666666"/>
        <w:sz w:val="16"/>
      </w:rPr>
      <w:t>blog  |</w:t>
    </w:r>
    <w:proofErr w:type="gramEnd"/>
    <w:r>
      <w:rPr>
        <w:rFonts w:ascii="Noto Sans" w:hAnsi="Noto Sans"/>
        <w:color w:val="666666"/>
        <w:sz w:val="16"/>
      </w:rPr>
      <w:t xml:space="preserve">  TCA y </w:t>
    </w:r>
    <w:proofErr w:type="spellStart"/>
    <w:r>
      <w:rPr>
        <w:rFonts w:ascii="Noto Sans" w:hAnsi="Noto Sans"/>
        <w:color w:val="666666"/>
        <w:sz w:val="16"/>
      </w:rPr>
      <w:t>cultura</w:t>
    </w:r>
    <w:proofErr w:type="spellEnd"/>
    <w:r>
      <w:rPr>
        <w:rFonts w:ascii="Noto Sans" w:hAnsi="Noto Sans"/>
        <w:color w:val="666666"/>
        <w:sz w:val="16"/>
      </w:rPr>
      <w:t xml:space="preserve"> digital    |    Página </w:t>
    </w:r>
    <w:r>
      <w:rPr>
        <w:rFonts w:ascii="Noto Sans" w:hAnsi="Noto Sans"/>
        <w:color w:val="666666"/>
        <w:sz w:val="16"/>
      </w:rPr>
      <w:fldChar w:fldCharType="begin"/>
    </w:r>
    <w:r>
      <w:rPr>
        <w:rFonts w:ascii="Noto Sans" w:hAnsi="Noto Sans"/>
        <w:color w:val="666666"/>
        <w:sz w:val="16"/>
      </w:rPr>
      <w:instrText xml:space="preserve"> PAGE </w:instrText>
    </w:r>
    <w:r w:rsidR="00C84EF0">
      <w:rPr>
        <w:rFonts w:ascii="Noto Sans" w:hAnsi="Noto Sans"/>
        <w:color w:val="666666"/>
        <w:sz w:val="16"/>
      </w:rPr>
      <w:fldChar w:fldCharType="separate"/>
    </w:r>
    <w:r w:rsidR="00C84EF0">
      <w:rPr>
        <w:rFonts w:ascii="Noto Sans" w:hAnsi="Noto Sans"/>
        <w:noProof/>
        <w:color w:val="666666"/>
        <w:sz w:val="16"/>
      </w:rPr>
      <w:t>2</w:t>
    </w:r>
    <w:r>
      <w:rPr>
        <w:rFonts w:ascii="Noto Sans" w:hAnsi="Noto Sans"/>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25984" w14:textId="77777777" w:rsidR="00867B03" w:rsidRDefault="00000000">
    <w:pPr>
      <w:pStyle w:val="Piedepgina"/>
      <w:jc w:val="center"/>
    </w:pPr>
    <w:proofErr w:type="spellStart"/>
    <w:r>
      <w:rPr>
        <w:rFonts w:ascii="Noto Sans" w:hAnsi="Noto Sans"/>
        <w:color w:val="666666"/>
        <w:sz w:val="16"/>
      </w:rPr>
      <w:t>Documento</w:t>
    </w:r>
    <w:proofErr w:type="spellEnd"/>
    <w:r>
      <w:rPr>
        <w:rFonts w:ascii="Noto Sans" w:hAnsi="Noto Sans"/>
        <w:color w:val="666666"/>
        <w:sz w:val="16"/>
      </w:rPr>
      <w:t xml:space="preserve"> editable para </w:t>
    </w:r>
    <w:proofErr w:type="spellStart"/>
    <w:r>
      <w:rPr>
        <w:rFonts w:ascii="Noto Sans" w:hAnsi="Noto Sans"/>
        <w:color w:val="666666"/>
        <w:sz w:val="16"/>
      </w:rPr>
      <w:t>publicación</w:t>
    </w:r>
    <w:proofErr w:type="spellEnd"/>
    <w:r>
      <w:rPr>
        <w:rFonts w:ascii="Noto Sans" w:hAnsi="Noto Sans"/>
        <w:color w:val="666666"/>
        <w:sz w:val="16"/>
      </w:rPr>
      <w:t xml:space="preserve"> </w:t>
    </w:r>
    <w:proofErr w:type="spellStart"/>
    <w:r>
      <w:rPr>
        <w:rFonts w:ascii="Noto Sans" w:hAnsi="Noto Sans"/>
        <w:color w:val="666666"/>
        <w:sz w:val="16"/>
      </w:rPr>
      <w:t>profesional</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028A7" w14:textId="77777777" w:rsidR="00094B15" w:rsidRDefault="00094B15">
      <w:pPr>
        <w:spacing w:after="0" w:line="240" w:lineRule="auto"/>
      </w:pPr>
      <w:r>
        <w:separator/>
      </w:r>
    </w:p>
  </w:footnote>
  <w:footnote w:type="continuationSeparator" w:id="0">
    <w:p w14:paraId="7916EA4F" w14:textId="77777777" w:rsidR="00094B15" w:rsidRDefault="00094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D463" w14:textId="77777777" w:rsidR="00867B03" w:rsidRDefault="00000000">
    <w:pPr>
      <w:pStyle w:val="Encabezado"/>
      <w:pBdr>
        <w:bottom w:val="single" w:sz="4" w:space="3" w:color="E5E1E3"/>
      </w:pBdr>
      <w:jc w:val="right"/>
    </w:pPr>
    <w:r>
      <w:rPr>
        <w:rFonts w:ascii="Noto Sans" w:hAnsi="Noto Sans"/>
        <w:b/>
        <w:color w:val="666666"/>
        <w:sz w:val="15"/>
      </w:rPr>
      <w:t xml:space="preserve">NANCY FARAH ESCALANTE </w:t>
    </w:r>
    <w:proofErr w:type="gramStart"/>
    <w:r>
      <w:rPr>
        <w:rFonts w:ascii="Noto Sans" w:hAnsi="Noto Sans"/>
        <w:b/>
        <w:color w:val="666666"/>
        <w:sz w:val="15"/>
      </w:rPr>
      <w:t>RUÍZ  ·</w:t>
    </w:r>
    <w:proofErr w:type="gramEnd"/>
    <w:r>
      <w:rPr>
        <w:rFonts w:ascii="Noto Sans" w:hAnsi="Noto Sans"/>
        <w:b/>
        <w:color w:val="666666"/>
        <w:sz w:val="15"/>
      </w:rPr>
      <w:t xml:space="preserve">  PSICOLOGÍA CLÍNICA Y PSICOTERAPIA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8383737">
    <w:abstractNumId w:val="8"/>
  </w:num>
  <w:num w:numId="2" w16cid:durableId="376054466">
    <w:abstractNumId w:val="6"/>
  </w:num>
  <w:num w:numId="3" w16cid:durableId="1762604552">
    <w:abstractNumId w:val="5"/>
  </w:num>
  <w:num w:numId="4" w16cid:durableId="183639669">
    <w:abstractNumId w:val="4"/>
  </w:num>
  <w:num w:numId="5" w16cid:durableId="177431056">
    <w:abstractNumId w:val="7"/>
  </w:num>
  <w:num w:numId="6" w16cid:durableId="1335573513">
    <w:abstractNumId w:val="3"/>
  </w:num>
  <w:num w:numId="7" w16cid:durableId="1458835677">
    <w:abstractNumId w:val="2"/>
  </w:num>
  <w:num w:numId="8" w16cid:durableId="1626622213">
    <w:abstractNumId w:val="1"/>
  </w:num>
  <w:num w:numId="9" w16cid:durableId="202535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B15"/>
    <w:rsid w:val="000B05EC"/>
    <w:rsid w:val="0015074B"/>
    <w:rsid w:val="0029639D"/>
    <w:rsid w:val="00326F90"/>
    <w:rsid w:val="00867B03"/>
    <w:rsid w:val="00AA1D8D"/>
    <w:rsid w:val="00B47730"/>
    <w:rsid w:val="00C84E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2E261"/>
  <w14:defaultImageDpi w14:val="300"/>
  <w15:docId w15:val="{E945769B-21EB-DC43-811C-9597F0B1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Noto Serif" w:hAnsi="Noto Serif"/>
      <w:color w:val="2B2B2B"/>
      <w:sz w:val="21"/>
    </w:rPr>
  </w:style>
  <w:style w:type="paragraph" w:styleId="Ttulo1">
    <w:name w:val="heading 1"/>
    <w:basedOn w:val="Normal"/>
    <w:next w:val="Normal"/>
    <w:link w:val="Ttulo1Car"/>
    <w:uiPriority w:val="9"/>
    <w:qFormat/>
    <w:rsid w:val="00FC693F"/>
    <w:pPr>
      <w:keepNext/>
      <w:keepLines/>
      <w:spacing w:before="320" w:after="140"/>
      <w:outlineLvl w:val="0"/>
    </w:pPr>
    <w:rPr>
      <w:rFonts w:asciiTheme="majorHAnsi" w:eastAsiaTheme="majorEastAsia" w:hAnsiTheme="majorHAnsi" w:cstheme="majorBidi"/>
      <w:b/>
      <w:bCs/>
      <w:color w:val="5B2D43"/>
      <w:sz w:val="36"/>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rFonts w:asciiTheme="majorHAnsi" w:eastAsiaTheme="majorEastAsia" w:hAnsiTheme="majorHAnsi" w:cstheme="majorBidi"/>
      <w:b/>
      <w:bCs/>
      <w:color w:val="315C5B"/>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pPr>
      <w:spacing w:after="140"/>
      <w:jc w:val="both"/>
    </w:pPr>
    <w:rPr>
      <w:rFonts w:ascii="Noto Serif" w:hAnsi="Noto Serif"/>
      <w:color w:val="2B2B2B"/>
      <w:sz w:val="21"/>
    </w:rPr>
  </w:style>
  <w:style w:type="paragraph" w:customStyle="1" w:styleId="Lead">
    <w:name w:val="Lead"/>
    <w:pPr>
      <w:spacing w:after="240" w:line="283" w:lineRule="auto"/>
    </w:pPr>
    <w:rPr>
      <w:rFonts w:ascii="Noto Serif" w:hAnsi="Noto Serif"/>
      <w:color w:val="5B2D43"/>
      <w:sz w:val="24"/>
    </w:rPr>
  </w:style>
  <w:style w:type="paragraph" w:customStyle="1" w:styleId="ListBulletCustom">
    <w:name w:val="List Bullet Custom"/>
    <w:basedOn w:val="Listaconvietas"/>
    <w:pPr>
      <w:spacing w:after="60" w:line="264" w:lineRule="auto"/>
    </w:pPr>
  </w:style>
  <w:style w:type="paragraph" w:customStyle="1" w:styleId="ListNumberCustom">
    <w:name w:val="List Number Custom"/>
    <w:basedOn w:val="Listaconnmeros"/>
    <w:pPr>
      <w:spacing w:after="60" w:line="264" w:lineRule="auto"/>
    </w:pPr>
  </w:style>
  <w:style w:type="paragraph" w:customStyle="1" w:styleId="Reference">
    <w:name w:val="Reference"/>
    <w:pPr>
      <w:spacing w:line="240" w:lineRule="auto"/>
    </w:pPr>
    <w:rPr>
      <w:rFonts w:ascii="Noto Serif" w:hAnsi="Noto Serif"/>
      <w:color w:val="2B2B2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47/PRBM.S41060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37/ppm0000460" TargetMode="External"/><Relationship Id="rId4" Type="http://schemas.openxmlformats.org/officeDocument/2006/relationships/settings" Target="settings.xml"/><Relationship Id="rId9" Type="http://schemas.openxmlformats.org/officeDocument/2006/relationships/hyperlink" Target="https://www.nice.org.uk/guidance/ng6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3896</Words>
  <Characters>21429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Trastornos de la conducta alimentaria en la era digital</dc:title>
  <dc:subject>Artículo profesional para blog sobre TCA, redes sociales e imagen corporal</dc:subject>
  <dc:creator>Nancy Farah Escalante Ruíz</dc:creator>
  <cp:keywords>TCA, redes sociales, imagen corporal, adolescencia, psicoterapia</cp:keywords>
  <dc:description>Versión ampliada y editada para publicación web.</dc:description>
  <cp:lastModifiedBy>Nancy Escalante Ruiz</cp:lastModifiedBy>
  <cp:revision>2</cp:revision>
  <dcterms:created xsi:type="dcterms:W3CDTF">2026-09-19T19:56:00Z</dcterms:created>
  <dcterms:modified xsi:type="dcterms:W3CDTF">2026-09-19T19:56:00Z</dcterms:modified>
  <cp:category/>
</cp:coreProperties>
</file>