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Neurolumens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Estrategia de crecimiento</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DOCUMENTO</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Reporte estratégico</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DESTINATARIOS</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Familia y dirección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FECHA</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Septiembre de 2026</w:t>
            </w:r>
          </w:p>
        </w:tc>
      </w:tr>
    </w:tbl>
    <w:p w14:paraId="0000001D">
      <w:pPr>
        <w:spacing w:after="110" w:line="300" w:lineRule="auto" w:before="160"/>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Propósito</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Profesionalización y expansión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Reunión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Familia y dirección de Neurolumens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Horizonte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2027 y visión 2032–2034</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Enfoque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Finanzas, modelo clínico y expansión multisucursal</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16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Resumen ejecutivo</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Neurolumens ha construido una operación con demanda real y crecimiento principalmente orgánico, apoyada en el trabajo familiar y en la experiencia de la Dra. Nancy Escalante. El siguiente paso es convertir esas capacidades en una organización con control financiero, calidad clínica consistente y menor dependencia de sus fundadores.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recomendación es profesionalizar Puebla y probar allí el modelo clínico antes de comprometer una segunda sede. La expansión debe sustentarse en resultados operativos y recursos disponibles, no solamente en el crecimiento de la facturación.</w:t>
      </w:r>
      <w:r>
        <w:rPr>
          <w:rtl w:val="0"/>
        </w:rPr>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Prioridad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Resultado que se busca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Orden financiero</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Separar familia y negocio; conocer utilidad, flujo y capacidad real de reinversión.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Profesionalización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Definir responsabilidades, presupuesto, procesos e indicadores mensuales.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Replicabilidad clínica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Formar profesionales bajo una metodología documentada y supervisada por Nancy.</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La meta inmediata es avanzar hacia una pequeña empresa profesionalizada en 2027. La visión de aproximadamente $100 millones MXN anuales hacia 2032–2034 es una estimación estratégica, todavía no una proyección financiera ni un compromiso de resultados.</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2  Situación actual y profesionalización</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crecimiento orgánico sugiere aceptación del servicio, pero no acredita por sí solo la rentabilidad ni la capacidad de replicar la clínica. La mezcla de recursos familiares, la intervención cotidiana de los fundadores y la concentración del criterio clínico requieren atención antes de expandirse.</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Puebla debe operar con un responsable por función, procesos documentados, control de caja, seguimiento comercial mediante CRM y una reunión directiva mensual. Conviene medir adquisición de pacientes, conversión, ocupación, costo de captación, ingresos, margen y flujo de efectivo.</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3  Finanzas familiares y empresa</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pregunta central es cuánto genera Neurolumens después de cubrir todos los recursos necesarios para operar. Se propone separar el manejo y registro del dinero empresarial del familiar, aun mientras continúe la estructura jurídica actual.</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Deben definirse remuneraciones por el trabajo familiar y registrarse por separado aportaciones, préstamos y retiros. El presupuesto familiar, la reserva operativa y la política de reinversión deben acordarse explícitamente.</w:t>
      </w:r>
      <w:r>
        <w:rPr>
          <w:rtl w:val="0"/>
        </w:rPr>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Información mensual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Utilidad para la dirección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Estado de resultados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Determinar ingresos, costos, gastos, remuneraciones y utilidad.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Balance general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Identificar activos, pasivos y patrimonio del negocio.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Flujo de efectivo</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Conocer entradas y salidas, liquidez y capacidad de pago.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Cuentas y deuda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Controlar cobros, pagos, vencimientos y obligaciones.</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Para evaluar la rentabilidad replicable debe incluirse el costo de sustituir las funciones de los fundadores cuando hoy no se remuneran plenamente. La utilidad contable no equivale al efectivo disponible: primero deben cubrirse impuestos, obligaciones, mantenimiento, capital de trabajo y necesidades familiares acordadas.</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4  RESICO y estructura societaria</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se recomienda constituir una sociedad de inmediato. RESICO es un régimen fiscal y una sociedad es una forma jurídica; salir de RESICO como persona física no obliga por sí mismo a constituir una sociedad.</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contador debe comparar la estructura actual, otro régimen aplicable de persona física y una sociedad, utilizando ingresos, gastos, utilidad, remuneraciones y costos de cumplimiento reales. Una sociedad puede organizar participaciones, contratos y activos, pero no garantiza crédito ni elimina automáticamente garantías personales.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límite de ingresos de RESICO para personas físicas es de $3.5 millones anuales [1]. La estrategia fiscal debe revisarse antes de alcanzarlo. El entregable será un comparativo escrito con costos de transición y condiciones que justificarían cambiar de estructura.</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5  Metas y expansión multisucursal</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meta para 2027 combina crecimiento y madurez: estados financieros mensuales, presupuesto, procesos, responsabilidades claras, marketing medible y menor dependencia de decisiones informales.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estratificación de referencia para servicios contempla ventas de $4.01 a $100 millones anuales para pequeñas empresas y de $100.01 a $250 millones para medianas, junto con trabajadores y un tope combinado [2]. Aproximarse a $100 millones expresa una escala aspiracional; no determina automáticamente la clasificación.</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Visión hacia 2032–2034</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aspiración de aproximadamente $100 millones anuales equivale a $8.3 millones mensuales consolidados. Se alcanzaría mediante varias unidades productivas y una estructura central capaz de sostenerlas. Los ejemplos siguientes muestran únicamente el orden de magnitud.</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Red ilustrativa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Ingreso por clínica al mes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Ingreso conjunto al año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 clínicas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$1.05 millones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$100.8 millones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clínicas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$850,000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$102 millones</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Estas cifras no incorporan inversión, aperturas graduales, ocupación ni costos centrales. El horizonte 2032–2034 deberá actualizarse con el costo completo por unidad, el piloto clínico y los resultados de una segunda clínica.</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Puebla como clínica modelo</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modelo replicable debe integrar atención clínica, agenda, equipo y mantenimiento, captación de pacientes, selección y formación de personal, presupuesto de apertura y capital de trabajo. Las funciones centrales de finanzas, personal, marketing, tecnología y operaciones crecerán conforme lo requiera la red.</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CDMX puede mantenerse como candidata para la segunda sede, sujeta a demanda, competencia, costos y disponibilidad de personal. La expansión posterior dependerá de demostrar que dos unidades funcionan con calidad y rentabilidad sostenidas.</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6  Del conocimiento de Nancy al método clínico</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Dra. Nancy Escalante es un activo central de Neurolumens. La valoración inicial referida de $1,500 MXN incorpora su experiencia, criterio y confianza. Al mismo tiempo, su disponibilidad limita el número de valoraciones que pueden ofrecerse personalmente.</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propuesta es ampliar su función hacia la dirección clínica: convertir conocimiento en metodología, protocolos, formación, supervisión y auditoría. Su participación debe multiplicar la capacidad del equipo sin exigir que cada sede encuentre a una profesional con una trayectoria equivalente.</w:t>
      </w:r>
      <w:r>
        <w:rPr>
          <w:rtl w:val="0"/>
        </w:rPr>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Nivel clínico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Responsabilidad principal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Psicólogos clínicos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Valorar y dar seguimiento dentro de sus competencias; documentar y escalar casos.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Supervisores clínicos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Revisar expedientes, evaluar competencias y acompañar situaciones complejas.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Dirección clínica de Nancy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Definir estándares, actualizar metodología, formar, auditar y atender casos seleccionados.</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La metodología debe documentar entrevista, información indispensable, instrumentos, señales de alerta, revisión de casos, seguimiento y comunicación. También debe definir excepciones y rutas de derivación. Las decisiones médicas relacionadas con TMS requieren responsables con las atribuciones correspondientes; la formación interna no sustituye acreditaciones profesionales.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estructura puede comenzar con Nancy y un primer profesional. Neurolumens puede atraer talento mediante infraestructura, pacientes, apoyo administrativo, formación y desarrollo, con modalidades de colaboración acordes con la disponibilidad necesaria.</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Valoración estándar y valoración premium</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valoración estándar sería realizada por un profesional acreditado y formado en la metodología, con supervisión. La modalidad premium daría acceso directo a Nancy, con disponibilidad limitada y precio por definir. Ambas deben cumplir los mismos requisitos esenciales de calidad y seguridad.</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revisión por complejidad debe decidirse clínicamente, independientemente de la modalidad contratada. Los precios se fijarán después de evaluar costos, supervisión, aceptación y margen; todavía no se propone un nuevo precio ni un descuento automático.</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7  Piloto clínico en Puebla</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piloto debe demostrar que otros profesionales pueden valorar con calidad consistente y que disminuye la carga total de Nancy. Antes de iniciar, se medirá su participación actual, tiempos, calidad documental y experiencia del paciente.</w:t>
      </w:r>
      <w:r>
        <w:rPr>
          <w:rtl w:val="0"/>
        </w:rPr>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Etapa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Forma de trabajo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Observación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Nancy realiza la valoración; el profesional observa y documenta.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Atención conjunta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Ambos participan con responsabilidades delimitadas.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Ejecución supervisada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 profesional dirige; Nancy observa y retroalimenta.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Revisión posterior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 profesional atiende casos autorizados y Nancy revisa.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Autonomía delimitada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 profesional atiende dentro de su competencia y escala casos definidos.</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La reducción del porcentaje de valoraciones personales de Nancy se hará por resultados. Las metas escalonadas y el periodo de evaluación se acordarán después de obtener la línea base.</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 medirán el porcentaje de valoraciones realizadas por Nancy; su tiempo total de atención, revisión y correcciones; calidad de expedientes; cumplimiento del escalamiento; experiencia del paciente; continuidad; incidencias y costo completo por valoración.</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8  Condiciones para una segunda clínica</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apertura requiere un piloto satisfactorio, profesionales evaluados, supervisión operativa y evidencia de que Puebla funciona durante ausencias planificadas de los fundadores. Debe existir un responsable local y personal disponible para la nueva sede.</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También se necesitan resultados financieros confiables, costos completos y un presupuesto de apertura con capital de trabajo. Un escenario conservador debe mostrar que la inversión no compromete la continuidad de Puebla ni las obligaciones familiares acordadas.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dirección fijará umbrales y un periodo mínimo de cumplimiento antes de invertir. La disponibilidad de un local o de financiamiento no sustituye la validación de calidad, autonomía y rentabilidad.</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9  Hoja de ruta y decisiones inmediatas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Etapa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Entregable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Condición de avance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Próximos 30 días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Separación financiera y calendario de cierre.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Responsables y reglas familiares acordados.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Próximos 60–90 días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Estados financieros, comparativo fiscal y diseño del piloto.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Información y presupuesto revisados.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Durante 2027</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Profesionalización y piloto en Puebla.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Calidad sostenida y menor dependencia.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Tras validar Puebla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Estudio y presupuesto de segunda sede.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Viabilidad clínica, operativa y financiera.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Tras estabilizar dos sedes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Expansión progresiva y estructura central.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Resultados replicables y capital suficiente.</w:t>
            </w:r>
            <w:r>
              <w:rPr>
                <w:rtl w:val="0"/>
              </w:rPr>
            </w:r>
          </w:p>
        </w:tc>
      </w:tr>
    </w:tbl>
    <w:p w14:paraId="00000027">
      <w:pPr>
        <w:spacing w:after="110" w:line="300" w:lineRule="auto" w:before="160"/>
        <w:jc w:val="both"/>
        <w:rPr>
          <w:rFonts w:ascii="Helvetica Neue" w:cs="Helvetica Neue" w:eastAsia="Helvetica Neue" w:hAnsi="Helvetica Neue"/>
        </w:rPr>
      </w:pPr>
      <w:r>
        <w:rPr>
          <w:rFonts w:ascii="Helvetica Neue" w:cs="Helvetica Neue" w:eastAsia="Helvetica Neue" w:hAnsi="Helvetica Neue"/>
          <w:color w:val="233447"/>
          <w:rtl w:val="0"/>
        </w:rPr>
        <w:t xml:space="preserve">La reunión debe concluir con cinco acuerdos: responsable y fecha del primer cierre mensual; comparativo fiscal; alcance y tiempo protegido de Nancy para dirección clínica; perfil y presupuesto del piloto; y condiciones obligatorias para aprobar la segunda sede. Cada acuerdo debe registrar responsable, fecha y evidencia esperada.</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10  Conclusiones y recomendaciones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 recomienda priorizar el orden financiero y el piloto de Puebla. Ambos permitirán conocer el efectivo disponible, el costo real de operar y la posibilidad de atender sin intervención constante de Nancy. Su experiencia debe conservar un papel central mediante dirección, formación y supervisión.</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estructura fiscal debe revisarse oportunamente con cifras. La visión de $100 millones anuales hacia 2032–2034 orienta el largo plazo; la prioridad inmediata es comprobar un modelo que sostenga una segunda unidad con calidad, autonomía y rentabilidad.</w:t>
      </w: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Referencias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SAT. Régimen Simplificado de Confianza para personas físicas. Límite de ingresos y requisitos. Consulta de referencia: septiembre de 2026. https://wwwnp.sat.gob.mx/portal/public/personas-fisicas/pf-simplificado-de-confianza</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Diario Oficial de la Federación. Acuerdo de estratificación de micro, pequeñas y medianas empresas, 30 de junio de 2009. https://www.gob.mx/cms/uploads/attachment/file/550589/DOF.Estratificacio_n_PYMES.pdf</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Neurolumens | Reporte estratégico</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