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BOEUF TRACKER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color w:val="2E74B5"/>
          <w:sz w:val="30"/>
          <w:szCs w:val="30"/>
        </w:rPr>
        <w:t xml:space="preserve">Évolution technique et justification des choix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24"/>
          <w:szCs w:val="24"/>
        </w:rPr>
        <w:t xml:space="preserve">De YOLOv11 à YOLOv26 — et de NVIDIA CUDA à Apple Silicon</w:t>
      </w:r>
    </w:p>
    <w:p>
      <w:pPr>
        <w:pBdr>
          <w:bottom w:val="single" w:color="2E74B5" w:sz="12" w:space="6"/>
        </w:pBdr>
        <w:spacing w:after="400"/>
        <w:jc w:val="center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36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Système de surveillance et de ré-identification bovine en temps réel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Auteur</w:t>
            </w:r>
          </w:p>
        </w:tc>
        <w:tc>
          <w:tcPr>
            <w:tcW w:type="dxa" w:w="63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Ismael Gansonre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 du document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Retracer, étape par étape, l'évolution du pipeline de vision et justifier chaque choix technologique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Période couverte</w:t>
            </w:r>
          </w:p>
        </w:tc>
        <w:tc>
          <w:tcPr>
            <w:tcW w:type="dxa" w:w="63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Juin 2026 — Août 2026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complémentaire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PFE_individuel_rapport_final.md (rapport général du projet)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Sommaire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Objet du document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Vue d'ensemble chronologique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Étape 1 — Socle initial : YOLOv11 + DINOv2 sur GTX 1660 Ti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Étape 2 — De la boîte englobante à la segmentation d'instance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Étape 3 — Limite identifiée : les faux positifs inter-espèces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Étape 4 — Migration matérielle : NVIDIA GTX 1660 Ti → Apple M1 Pro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Étape 5 — YOLOv11 (PyTorch/MPS) → YOLOv26 (MLX / Metal natif)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Étape 6 — Reconnaissance de race : HSV → CLIP → SigLIP-2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Étape 7 — Ré-identification : DINOv2 → MegaDescriptor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10.  </w:t>
      </w:r>
      <w:r>
        <w:rPr>
          <w:rFonts w:ascii="Calibri" w:cs="Calibri" w:eastAsia="Calibri" w:hAnsi="Calibri"/>
          <w:sz w:val="22"/>
          <w:szCs w:val="22"/>
        </w:rPr>
        <w:t xml:space="preserve">Étape 8 — Analyse comportementale : du ratio d'aspect à la posture au sol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11.  </w:t>
      </w:r>
      <w:r>
        <w:rPr>
          <w:rFonts w:ascii="Calibri" w:cs="Calibri" w:eastAsia="Calibri" w:hAnsi="Calibri"/>
          <w:sz w:val="22"/>
          <w:szCs w:val="22"/>
        </w:rPr>
        <w:t xml:space="preserve">Tableau récapitulatif des décisions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12.  </w:t>
      </w:r>
      <w:r>
        <w:rPr>
          <w:rFonts w:ascii="Calibri" w:cs="Calibri" w:eastAsia="Calibri" w:hAnsi="Calibri"/>
          <w:sz w:val="22"/>
          <w:szCs w:val="22"/>
        </w:rPr>
        <w:t xml:space="preserve">Limites connues et honnêteté scientifique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13.  </w:t>
      </w:r>
      <w:r>
        <w:rPr>
          <w:rFonts w:ascii="Calibri" w:cs="Calibri" w:eastAsia="Calibri" w:hAnsi="Calibri"/>
          <w:sz w:val="22"/>
          <w:szCs w:val="22"/>
        </w:rPr>
        <w:t xml:space="preserve">Perspectives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Objet du document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Ce document retrace le cheminement technique du projet Boeuf Tracker. Il ne décrit pas seulement l'état final du système : il explique pourquoi chaque brique a été choisie, quel problème concret l'a motivée, et ce qui a été mesuré ou observé pour valider la décision.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La logique de lecture est chronologique. Chaque étape suit la même structure : le problème rencontré, la solution retenue, la justification technique, puis le résultat observé. Des espaces sont réservés pour les captures d'écran qui illustreront chaque point.</w:t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E9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Pourquoi documenter les échecs autant que les réussites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Plusieurs approches présentées ici ont été abandonnées après avoir été implémentées et testées (analyse de robe par HSV, classification CLIP, détection de pâture par ratio d'aspect).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Ces impasses sont conservées dans le document : elles justifient les solutions actuelles bien mieux qu'une présentation qui ne montrerait que le résultat final.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Vue d'ensemble chronologique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tableau ci-dessous résume les grandes phases du projet, reconstituées à partir de l'historique de versionnage du dépôt.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7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Évolution principale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Juin 2026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Prototype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initial sur Google Colab. YOLOv11 + DINOv2. Interface Flask, puis Gradio, puis retour à Flask (tunnels instables).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Juin 2026</w:t>
            </w:r>
          </w:p>
        </w:tc>
        <w:tc>
          <w:tcPr>
            <w:tcW w:type="dxa" w:w="27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Stabilisation</w:t>
            </w:r>
          </w:p>
        </w:tc>
        <w:tc>
          <w:tcPr>
            <w:tcW w:type="dxa" w:w="5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Passage du flux MJPEG à un sondage JPEG pour contourner les coupures de proxy. Repli CPU si aucun GPU.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Juillet 2026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Industrialisation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 Re-ID asynchrone, interface Bun/Hono découplée, tableau de bord analytique, générateur de noms persistant.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Juillet 2026</w:t>
            </w:r>
          </w:p>
        </w:tc>
        <w:tc>
          <w:tcPr>
            <w:tcW w:type="dxa" w:w="27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Enrichissement</w:t>
            </w:r>
          </w:p>
        </w:tc>
        <w:tc>
          <w:tcPr>
            <w:tcW w:type="dxa" w:w="5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Reconnaissance de race (CLIP puis SigLIP-2). Application de bureau Tauri. Base de données par vidéo.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Juillet 2026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Passage de NVIDIA CUDA à Apple Silicon. CUDA → MPS → MLX. Adoption de YOLOv26 au format safetensors.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Août 2026</w:t>
            </w:r>
          </w:p>
        </w:tc>
        <w:tc>
          <w:tcPr>
            <w:tcW w:type="dxa" w:w="27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Fiabilisation</w:t>
            </w:r>
          </w:p>
        </w:tc>
        <w:tc>
          <w:tcPr>
            <w:tcW w:type="dxa" w:w="5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Ré-identification par MegaDescriptor. Refonte du module comportemental. Couverture de tests automatisés.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de l'interface complète avec plusieurs bovins détectés, noms et comportements affichés.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1 — Vue d'ensemble de l'interface en fonctionnement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Étape 1 — Socle initial : YOLOv11 + DINOv2 sur GTX 1660 Ti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Le besoin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Détecter des bovins dans un flux vidéo, les suivre d'une image à l'autre, et surtout les reconnaître individuellement d'une vidéo à l'autre — sans disposer d'un jeu de données annoté.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Pourquoi YOLOv11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Le jeu de données COCO, sur lequel YOLOv11 est pré-entraîné, contient déjà une classe « cow » (identifiant 19). Le système fonctionne donc immédiatement, sans annotation ni entraînement.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Ultralytics intègre nativement le suivi multi-objets ByteTrack : la détection et le suivi sont obtenus en un seul appel.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La littérature comparative en suivi de bétail place ByteTrack et ses variantes parmi les méthodes de référence.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Le modèle est décliné en plusieurs tailles (n, s, m, l, x), ce qui permet d'arbitrer précision et vitesse selon le matériel.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Pourquoi DINOv2 pour la ré-identification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Reconnaître un individu suppose une empreinte visuelle stable. Deux voies existaient : entraîner un réseau dédié sur nos propres bovins, ou utiliser un extracteur de caractéristiques générique.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Sans annotation. </w:t>
      </w:r>
      <w:r>
        <w:rPr>
          <w:rFonts w:ascii="Calibri" w:cs="Calibri" w:eastAsia="Calibri" w:hAnsi="Calibri"/>
          <w:sz w:val="22"/>
          <w:szCs w:val="22"/>
        </w:rPr>
        <w:t xml:space="preserve">DINOv2 est auto-supervisé : il produit un vecteur descriptif sans qu'aucune étiquette soit nécessaire.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Fusion multi-signaux. </w:t>
      </w:r>
      <w:r>
        <w:rPr>
          <w:rFonts w:ascii="Calibri" w:cs="Calibri" w:eastAsia="Calibri" w:hAnsi="Calibri"/>
          <w:sz w:val="22"/>
          <w:szCs w:val="22"/>
        </w:rPr>
        <w:t xml:space="preserve">L'empreinte DINOv2 a été complétée par un histogramme HSV (couleur de la robe) et un descripteur LBP (texture du pelage). Ces trois signaux sont complémentaires : le réseau profond capte la forme et la sémantique, l'histogramme la teinte, le LBP le motif fin.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Le matériel de départ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16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GTX 1660 Ti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Turing (sm_75)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Cœurs CUDA</w:t>
            </w:r>
          </w:p>
        </w:tc>
        <w:tc>
          <w:tcPr>
            <w:tcW w:type="dxa" w:w="6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Mémoire vidéo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Go GDDR6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Cœurs Tensor dédiés</w:t>
            </w:r>
          </w:p>
        </w:tc>
        <w:tc>
          <w:tcPr>
            <w:tcW w:type="dxa" w:w="6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— le FP16 apporte environ 1,5× seulement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Débit mesuré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à 28 images/s avec yolo11s-seg en 640 px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E9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La contrainte qui a orienté toute la suite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L'absence de cœurs Tensor sur l'architecture Turing plafonne le gain apporté par la demi-précision.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pipeline a donc été optimisé pour le débit plutôt que pour la précision maximale : résolution d'inférence modérée, calcul d'empreinte espacé dans le temps, et traitement d'une image sur deux lorsque nécessaire.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montrant les boîtes englobantes et le compteur d'images par seconde.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2 — Détection de bovins avec le modèle YOLOv11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Étape 2 — De la boîte englobante à la segmentation d'instance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Le problème observé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Une boîte englobante rectangulaire autour d'un bovin contient beaucoup d'éléments qui ne sont pas l'animal : herbe, ciel, portions d'un congénère voisin. Or l'imagette découpée dans cette boîte sert à calculer l'empreinte de ré-identification.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Conséquence directe : deux bovins photographiés sur un fond identique obtiennent des empreintes artificiellement proches, parce que le fond commun pèse dans le calcul. La confusion entre individus augmente.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La décision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Passage de yolo11n.pt à yolo11s-seg.pt</w:t>
      </w:r>
      <w:r>
        <w:rPr>
          <w:rFonts w:ascii="Calibri" w:cs="Calibri" w:eastAsia="Calibri" w:hAnsi="Calibri"/>
          <w:sz w:val="22"/>
          <w:szCs w:val="22"/>
        </w:rPr>
        <w:t xml:space="preserve"> — c'est-à-dire d'un modèle de détection pure à un modèle de segmentation d'instance, qui produit un masque au pixel près épousant la silhouette exacte de chaque animal.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Les bénéfices, dont un imprévu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Empreinte plus propre. </w:t>
      </w:r>
      <w:r>
        <w:rPr>
          <w:rFonts w:ascii="Calibri" w:cs="Calibri" w:eastAsia="Calibri" w:hAnsi="Calibri"/>
          <w:sz w:val="22"/>
          <w:szCs w:val="22"/>
        </w:rPr>
        <w:t xml:space="preserve">Le calcul de ré-identification porte sur l'animal seul, sans contamination par le décor.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Lisibilité de l'interface. </w:t>
      </w:r>
      <w:r>
        <w:rPr>
          <w:rFonts w:ascii="Calibri" w:cs="Calibri" w:eastAsia="Calibri" w:hAnsi="Calibri"/>
          <w:sz w:val="22"/>
          <w:szCs w:val="22"/>
        </w:rPr>
        <w:t xml:space="preserve">Le contour précis est plus parlant qu'un rectangle lors d'une démonstration.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Bénéfice non anticipé : l'analyse de posture. </w:t>
      </w:r>
      <w:r>
        <w:rPr>
          <w:rFonts w:ascii="Calibri" w:cs="Calibri" w:eastAsia="Calibri" w:hAnsi="Calibri"/>
          <w:sz w:val="22"/>
          <w:szCs w:val="22"/>
        </w:rPr>
        <w:t xml:space="preserve">Le masque de segmentation est devenu, bien plus tard, la donnée d'entrée qui a permis de résoudre la détection du broutage (étape 8). Sans segmentation, cette analyse aurait été impossible.</w:t>
      </w:r>
    </w:p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deux captures côte à côte, ou une capture montrant les contours précis des silhouettes.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3 — Comparaison entre boîte englobante et masque de segmentation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Étape 3 — Limite identifiée : les faux positifs inter-espèces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Le constat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système s'appuie sur la classe « cow » du jeu de données COCO, issue d'un modèle générique qui n'a jamais été spécialisé sur nos bovins. Ce modèle n'a pas appris « un bœuf » au sens de l'éleveur : il a appris une morphologie — un grand mammifère quadrupède, au corps massif et horizontal, vu en extérieur.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Toute espèce partageant cette silhouette est donc susceptible d'être classée comme bovin. C'est vérifiable en soumettant au système des vidéos d'autres animaux.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Deux cas de figure à distinguer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tcW w:type="dxa" w:w="348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Comportement observé</w:t>
            </w:r>
          </w:p>
        </w:tc>
        <w:tc>
          <w:tcPr>
            <w:tcW w:type="dxa" w:w="348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Ovins (moutons)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Fréquemment détectés comme bovins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 positif attendu : morphologie très proche (quadrupède, corps horizontal, pâturage). COCO possède une classe « sheep » distincte, mais la frontière visuelle reste ténue à distance.</w:t>
            </w:r>
          </w:p>
        </w:tc>
      </w:tr>
      <w:tr>
        <w:tc>
          <w:tcPr>
            <w:tcW w:type="dxa" w:w="24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Éléphants</w:t>
            </w:r>
          </w:p>
        </w:tc>
        <w:tc>
          <w:tcPr>
            <w:tcW w:type="dxa" w:w="348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Parfois détectés comme bovins</w:t>
            </w:r>
          </w:p>
        </w:tc>
        <w:tc>
          <w:tcPr>
            <w:tcW w:type="dxa" w:w="348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 positif révélateur : le modèle généralise sur la silhouette massive et quadrupède. Cela illustre concrètement ce que le réseau a réellement appris.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E9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Pourquoi cette limite a été assumée plutôt que corrigée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corriger imposerait de spécialiser le modèle sur un jeu de données annoté de nos propres bovins : plusieurs centaines d'images étiquetées manuellement, puis un cycle d'entraînement.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travail dépasse le périmètre de la phase actuelle. La limite est donc documentée et démontrée explicitement, ce qui est préférable à une performance affichée sans mention de son domaine de validité.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conditions réelles d'exploitation — une caméra fixe sur une parcelle d'élevage bovin — aucun éléphant ne traverse le champ. Le risque pratique est donc faible, mais il devait être mesuré.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d'une vidéo d'éléphants où le système applique une étiquette bovine. Montrer l'indice de confiance.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4 — Faux positif — éléphant détecté comme bovin</w:t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d'une vidéo de moutons avec l'étiquette attribuée par le système.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5 — Faux positif — mouton détecté comme bovin</w:t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de référence sur une vidéo de bovins, à placer en regard des deux précédentes pour la comparaison.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6 — Cas nominal — bovins correctement détectés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Étape 4 — Migration matérielle : NVIDIA GTX 1660 Ti → Apple M1 Pro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Les motifs du changement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Plafond matériel atteint. </w:t>
      </w:r>
      <w:r>
        <w:rPr>
          <w:rFonts w:ascii="Calibri" w:cs="Calibri" w:eastAsia="Calibri" w:hAnsi="Calibri"/>
          <w:sz w:val="22"/>
          <w:szCs w:val="22"/>
        </w:rPr>
        <w:t xml:space="preserve">L'architecture Turing sans cœurs Tensor limitait le gain de la demi-précision à environ 1,5×. Les optimisations logicielles restantes offraient un rendement décroissant.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Mémoire unifiée. </w:t>
      </w:r>
      <w:r>
        <w:rPr>
          <w:rFonts w:ascii="Calibri" w:cs="Calibri" w:eastAsia="Calibri" w:hAnsi="Calibri"/>
          <w:sz w:val="22"/>
          <w:szCs w:val="22"/>
        </w:rPr>
        <w:t xml:space="preserve">Sur Apple Silicon, processeur et partie graphique partagent la même mémoire physique. Les transferts entre mémoire centrale et mémoire vidéo — un coût récurrent à chaque image sur architecture NVIDIA — disparaissent.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Mobilité. </w:t>
      </w:r>
      <w:r>
        <w:rPr>
          <w:rFonts w:ascii="Calibri" w:cs="Calibri" w:eastAsia="Calibri" w:hAnsi="Calibri"/>
          <w:sz w:val="22"/>
          <w:szCs w:val="22"/>
        </w:rPr>
        <w:t xml:space="preserve">Un ordinateur portable autorise la démonstration et le développement hors du poste fixe, ce qui compte pour un projet destiné à être présenté.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Trois voies d'exécution explorées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Voie</w:t>
            </w:r>
          </w:p>
        </w:tc>
        <w:tc>
          <w:tcPr>
            <w:tcW w:type="dxa" w:w="33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  <w:tc>
          <w:tcPr>
            <w:tcW w:type="dxa" w:w="396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CUDA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Exécution native NVIDIA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Abandonnée avec le changement de matériel.</w:t>
            </w:r>
          </w:p>
        </w:tc>
      </w:tr>
      <w:tr>
        <w:tc>
          <w:tcPr>
            <w:tcW w:type="dxa" w:w="21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MPS</w:t>
            </w:r>
          </w:p>
        </w:tc>
        <w:tc>
          <w:tcPr>
            <w:tcW w:type="dxa" w:w="33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Couche de compatibilité PyTorch au-dessus de Metal</w:t>
            </w:r>
          </w:p>
        </w:tc>
        <w:tc>
          <w:tcPr>
            <w:tcW w:type="dxa" w:w="39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Fonctionnelle et retenue pour les modèles PyTorch (empreintes, classification de race). Reste une couche de traduction, donc non optimale.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MLX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Cadriciel Apple s'exécutant directement sur Metal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Retenue pour la détection YOLO. Voie la plus rapide (voir étape 5).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Précision technique importante pour la soutenance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Neural Engine — l'accélérateur dédié à l'inférence des puces Apple — n'est pas accessible depuis MLX. Il n'est atteignable que via CoreML.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voie CoreML a effectivement été instrumentée et mesurée dans le module de diagnostic du projet, mais MLX a été conservé : la conversion CoreML impose une taille d'entrée figée et complique la chaîne de traitement, pour un gain qui ne le justifiait pas.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gain de performance obtenu provient donc du GPU Metal et de la mémoire unifiée, et non du Neural Engine. Cette distinction mérite d'être énoncée : elle est vérifiable et sera probablement questionnée.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Gain mesuré sur le calcul d'empreinte (demi-précision sur MPS)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 de calcul</w:t>
            </w:r>
          </w:p>
        </w:tc>
        <w:tc>
          <w:tcPr>
            <w:tcW w:type="dxa" w:w="258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 (FP32)</w:t>
            </w:r>
          </w:p>
        </w:tc>
        <w:tc>
          <w:tcPr>
            <w:tcW w:type="dxa" w:w="258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 (FP16)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Imagette unique</w:t>
            </w:r>
          </w:p>
        </w:tc>
        <w:tc>
          <w:tcPr>
            <w:tcW w:type="dxa" w:w="25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 images/s</w:t>
            </w:r>
          </w:p>
        </w:tc>
        <w:tc>
          <w:tcPr>
            <w:tcW w:type="dxa" w:w="25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images/s</w:t>
            </w:r>
          </w:p>
        </w:tc>
      </w:tr>
      <w:tr>
        <w:tc>
          <w:tcPr>
            <w:tcW w:type="dxa" w:w="42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Traitement par lots de 8</w:t>
            </w:r>
          </w:p>
        </w:tc>
        <w:tc>
          <w:tcPr>
            <w:tcW w:type="dxa" w:w="258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 imagettes/s</w:t>
            </w:r>
          </w:p>
        </w:tc>
        <w:tc>
          <w:tcPr>
            <w:tcW w:type="dxa" w:w="258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137 imagettes/s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de la page de diagnostic affichant le périphérique de calcul actif et les débits mesurés.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7 — Diagnostic matériel du système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Étape 5 — YOLOv11 (PyTorch/MPS) → YOLOv26 (MLX / Metal natif)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Le raisonnement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MPS traduit les opérations PyTorch vers Metal. Cette traduction a un coût, et certaines opérations n'ont pas d'équivalent optimisé. MLX, conçu par Apple pour ses propres puces, s'exécute directement sur Metal et exploite la mémoire unifiée sans copie.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Gain mesuré : environ 2,6× </w:t>
      </w:r>
      <w:r>
        <w:rPr>
          <w:rFonts w:ascii="Calibri" w:cs="Calibri" w:eastAsia="Calibri" w:hAnsi="Calibri"/>
          <w:sz w:val="22"/>
          <w:szCs w:val="22"/>
        </w:rPr>
        <w:t xml:space="preserve">par rapport à YOLOv11-s exécuté sur PyTorch/MPS, soit un régime d'environ 26 images par seconde en segmentation.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Pourquoi le format safetensors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Sécurité. </w:t>
      </w:r>
      <w:r>
        <w:rPr>
          <w:rFonts w:ascii="Calibri" w:cs="Calibri" w:eastAsia="Calibri" w:hAnsi="Calibri"/>
          <w:sz w:val="22"/>
          <w:szCs w:val="22"/>
        </w:rPr>
        <w:t xml:space="preserve">Le format .pt de PyTorch repose sur la sérialisation pickle, qui peut exécuter du code arbitraire au chargement. Le format safetensors ne contient que des données.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Vitesse de chargement. </w:t>
      </w:r>
      <w:r>
        <w:rPr>
          <w:rFonts w:ascii="Calibri" w:cs="Calibri" w:eastAsia="Calibri" w:hAnsi="Calibri"/>
          <w:sz w:val="22"/>
          <w:szCs w:val="22"/>
        </w:rPr>
        <w:t xml:space="preserve">Le fichier est projeté en mémoire directement, sans désérialisation coûteuse.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Interopérabilité. </w:t>
      </w:r>
      <w:r>
        <w:rPr>
          <w:rFonts w:ascii="Calibri" w:cs="Calibri" w:eastAsia="Calibri" w:hAnsi="Calibri"/>
          <w:sz w:val="22"/>
          <w:szCs w:val="22"/>
        </w:rPr>
        <w:t xml:space="preserve">C'est le format attendu par l'écosystème MLX.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Deux obstacles rencontrés — et leur résolution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Cette migration n'a pas été une simple substitution de fichier. Deux défauts de la bibliothèque MLX ont dû être contournés.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Obstacle</w:t>
            </w:r>
          </w:p>
        </w:tc>
        <w:tc>
          <w:tcPr>
            <w:tcW w:type="dxa" w:w="313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313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Contournement retenu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Accès concurrent à Metal</w:t>
            </w:r>
          </w:p>
        </w:tc>
        <w:tc>
          <w:tcPr>
            <w:tcW w:type="dxa" w:w="31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Arrêt brutal du processus lorsque deux inférences se chevauchent, situation provoquée par le serveur web multi-fils</w:t>
            </w:r>
          </w:p>
        </w:tc>
        <w:tc>
          <w:tcPr>
            <w:tcW w:type="dxa" w:w="31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Sérialisation des appels par un verrou d'exclusion mutuelle sur l'instance du détecteur</w:t>
            </w:r>
          </w:p>
        </w:tc>
      </w:tr>
      <w:tr>
        <w:tc>
          <w:tcPr>
            <w:tcW w:type="dxa" w:w="31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Perte des masques au suivi</w:t>
            </w:r>
          </w:p>
        </w:tc>
        <w:tc>
          <w:tcPr>
            <w:tcW w:type="dxa" w:w="313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fonction de suivi intégrée reconstruit un résultat sans les masques de segmentation</w:t>
            </w:r>
          </w:p>
        </w:tc>
        <w:tc>
          <w:tcPr>
            <w:tcW w:type="dxa" w:w="313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Utilisation de la seule prédiction, complétée par un suivi par recouvrement de boîtes développé pour le projet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E9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Ce que cet épisode démontre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Adopter une technologie récente apporte un gain de performance réel, mais transfère une part de la responsabilité d'ingénierie vers le projet.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suivi par recouvrement de boîtes, écrit pour compenser un défaut de la bibliothèque, fait désormais partie intégrante du système et lui assure son indépendance vis-à-vis de ce composant.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affichant le périphérique « mlx » actif et le compteur d'images par seconde, à comparer avec l'exécution sur MPS.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8 — Exécution sur MLX — gain de débit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Étape 6 — Reconnaissance de race : HSV → CLIP → SigLIP-2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L'identification de la race a connu trois générations successives. C'est l'exemple le plus net d'une fonctionnalité affinée par itérations, chacune motivée par une insuffisance mesurée de la précédente.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Première génération — analyse de la robe par histogramme HSV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Principe. </w:t>
      </w:r>
      <w:r>
        <w:rPr>
          <w:rFonts w:ascii="Calibri" w:cs="Calibri" w:eastAsia="Calibri" w:hAnsi="Calibri"/>
          <w:sz w:val="22"/>
          <w:szCs w:val="22"/>
        </w:rPr>
        <w:t xml:space="preserve">Comparaison de la teinte dominante du pelage à une table de référence par race.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Avantage. </w:t>
      </w:r>
      <w:r>
        <w:rPr>
          <w:rFonts w:ascii="Calibri" w:cs="Calibri" w:eastAsia="Calibri" w:hAnsi="Calibri"/>
          <w:sz w:val="22"/>
          <w:szCs w:val="22"/>
        </w:rPr>
        <w:t xml:space="preserve">Coût de calcul négligeable, aucun modèle à charger.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Limite rédhibitoire. </w:t>
      </w:r>
      <w:r>
        <w:rPr>
          <w:rFonts w:ascii="Calibri" w:cs="Calibri" w:eastAsia="Calibri" w:hAnsi="Calibri"/>
          <w:sz w:val="22"/>
          <w:szCs w:val="22"/>
        </w:rPr>
        <w:t xml:space="preserve">Toutes les races à robe fauve — Charolaise, Limousine, Salers — se confondent. La couleur seule ne les distingue pas ; il faut tenir compte de la morphologie.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Deuxième génération — CLIP en classification sans exemple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Principe. </w:t>
      </w:r>
      <w:r>
        <w:rPr>
          <w:rFonts w:ascii="Calibri" w:cs="Calibri" w:eastAsia="Calibri" w:hAnsi="Calibri"/>
          <w:sz w:val="22"/>
          <w:szCs w:val="22"/>
        </w:rPr>
        <w:t xml:space="preserve">Un modèle associant images et textes compare l'imagette du bovin à des descriptions textuelles de races. Aucun entraînement n'est requis.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Progrès. </w:t>
      </w:r>
      <w:r>
        <w:rPr>
          <w:rFonts w:ascii="Calibri" w:cs="Calibri" w:eastAsia="Calibri" w:hAnsi="Calibri"/>
          <w:sz w:val="22"/>
          <w:szCs w:val="22"/>
        </w:rPr>
        <w:t xml:space="preserve">Le modèle perçoit la forme, la texture et le contexte, et non plus la seule couleur.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Limite. </w:t>
      </w:r>
      <w:r>
        <w:rPr>
          <w:rFonts w:ascii="Calibri" w:cs="Calibri" w:eastAsia="Calibri" w:hAnsi="Calibri"/>
          <w:sz w:val="22"/>
          <w:szCs w:val="22"/>
        </w:rPr>
        <w:t xml:space="preserve">CLIP ViT-B/32 atteint environ 63 % sur le jeu de référence ImageNet. Cette capacité reste insuffisante pour des distinctions fines entre races proches.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Troisième génération — SigLIP-2 So400m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616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SigLIP-2 So400m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google/siglip2-so400m-patch16-384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 paramètres</w:t>
            </w:r>
          </w:p>
        </w:tc>
        <w:tc>
          <w:tcPr>
            <w:tcW w:type="dxa" w:w="6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1 136 millions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de référence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84,1 % sur ImageNet, contre environ 63 % pour CLIP ViT-B/32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Motif du choix</w:t>
            </w:r>
          </w:p>
        </w:tc>
        <w:tc>
          <w:tcPr>
            <w:tcW w:type="dxa" w:w="6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État de l'art 2025 en classification fine sans exemple d'entraînement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Repli en cas d'indisponibilité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CLIP, puis analyse HSV — la chaîne se dégrade sans jamais interrompre le service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La décision de conception la plus importante de cette étape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Aucun modèle sans exemple d'entraînement ne peut garantir une distinction fiable entre races voisines. Plutôt que d'afficher systématiquement la race la mieux notée, le système applique un seuil de confiance.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seuil porte sur la marge — l'écart entre le premier et le second candidat — et non sur le score brut. </w:t>
      </w:r>
      <w:r>
        <w:rPr>
          <w:rFonts w:ascii="Calibri" w:cs="Calibri" w:eastAsia="Calibri" w:hAnsi="Calibri"/>
          <w:sz w:val="22"/>
          <w:szCs w:val="22"/>
        </w:rPr>
        <w:t xml:space="preserve">Un score isolé n'informe pas sur la certitude ; c'est l'écart entre les hypothèses concurrentes qui la traduit. En deçà de la marge minimale, le système affiche « Race indéterminée ».</w:t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Un choix défendable en soutenance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Afficher « Race indéterminée » plutôt qu'une race plausible mais incertaine est une position méthodologique assumée.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système qui reconnaît ses limites est plus exploitable qu'un système qui affirme toujours quelque chose : l'éleveur sait quand il doit vérifier lui-même.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correctif ultérieur a remplacé la fonction sigmoïde par une fonction softmax, la classification étant mono-étiquette : un bovin appartient à une seule race, les probabilités doivent donc se répartir entre les races et non être évaluées indépendamment.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montrant une race identifiée avec son indice, et si possible un cas « Race indéterminée ».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9 — Identification de race avec indice de confiance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Étape 7 — Ré-identification : DINOv2 → MegaDescriptor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La limite de DINOv2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DINOv2 est un extracteur généraliste, entraîné de façon auto-supervisée sur environ 142 millions d'images de toutes natures. Il produit d'excellentes représentations générales, mais n'a jamais été optimisé pour la question précise qui nous occupe : distinguer deux individus d'une même espèce, dont l'apparence est par définition très semblable.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MegaDescriptor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616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MegaDescriptor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Origine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 WildlifeDatasets — boîte à outils ouverte de ré-identification animale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Entraînement</w:t>
            </w:r>
          </w:p>
        </w:tc>
        <w:tc>
          <w:tcPr>
            <w:tcW w:type="dxa" w:w="6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trentaine de jeux de données de ré-identification animale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Portée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Indépendant de l'espèce</w:t>
            </w:r>
          </w:p>
        </w:tc>
      </w:tr>
      <w:tr>
        <w:tc>
          <w:tcPr>
            <w:tcW w:type="dxa" w:w="32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annoncée</w:t>
            </w:r>
          </w:p>
        </w:tc>
        <w:tc>
          <w:tcPr>
            <w:tcW w:type="dxa" w:w="61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Surpasse nettement DINOv2 et CLIP sur les jeux de référence de ré-identification animale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6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Chargement depuis le dépôt public de modèles, interface compatible avec l'existant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Ce qui a été conservé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La fusion à trois signaux — empreinte profonde, histogramme de couleur, texture du pelage — a été maintenue. Seul le composant profond a été remplacé. Ces signaux restent complémentaires : le réseau capte la forme et la sémantique, l'histogramme la couleur de la robe, le descripteur de texture les motifs fins que la couleur seule ne restitue pas.</w:t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2E9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Conséquence pratique du changement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dimension du vecteur d'empreinte change avec le modèle. Les bases existantes deviennent donc incompatibles.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système détecte cette incompatibilité au démarrage et purge automatiquement les enregistrements obsolètes plutôt que de produire des comparaisons erronées.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deux captures montrant le même animal reconnu sous le même nom dans deux séquences différentes.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10 — Ré-identification d'un même bovin sur deux vidéos distinctes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Étape 8 — Analyse comportementale : du ratio d'aspect à la posture au sol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Cette étape est la plus instructive du projet : deux approches successives ont été implémentées, testées, puis abandonnées avant qu'une troisième ne fonctionne. Le cheminement mérite d'être exposé en détail.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Première tentative — ratio d'aspect de la boîte englobante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Hypothèse. </w:t>
      </w:r>
      <w:r>
        <w:rPr>
          <w:rFonts w:ascii="Calibri" w:cs="Calibri" w:eastAsia="Calibri" w:hAnsi="Calibri"/>
          <w:sz w:val="22"/>
          <w:szCs w:val="22"/>
        </w:rPr>
        <w:t xml:space="preserve">Un bovin qui broute baisse la tête ; sa boîte englobante devrait donc s'allonger verticalement, et le rapport largeur sur hauteur diminuer.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Résultat. </w:t>
      </w:r>
      <w:r>
        <w:rPr>
          <w:rFonts w:ascii="Calibri" w:cs="Calibri" w:eastAsia="Calibri" w:hAnsi="Calibri"/>
          <w:sz w:val="22"/>
          <w:szCs w:val="22"/>
        </w:rPr>
        <w:t xml:space="preserve">Échec. Les animaux qui broutaient manifestement étaient étiquetés « immobile 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Cause. </w:t>
      </w:r>
      <w:r>
        <w:rPr>
          <w:rFonts w:ascii="Calibri" w:cs="Calibri" w:eastAsia="Calibri" w:hAnsi="Calibri"/>
          <w:sz w:val="22"/>
          <w:szCs w:val="22"/>
        </w:rPr>
        <w:t xml:space="preserve">Vu de profil — le cas le plus fréquent au pâturage — le corps reste long et horizontal, et la tête descend devant l'animal. La boîte demeure large. Le rapport d'aspect est pratiquement identique à celui d'un animal debout : il ne peut pas discriminer les deux situations.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Deuxième tentative — répartition de la masse dans le tiers supérieur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Hypothèse. </w:t>
      </w:r>
      <w:r>
        <w:rPr>
          <w:rFonts w:ascii="Calibri" w:cs="Calibri" w:eastAsia="Calibri" w:hAnsi="Calibri"/>
          <w:sz w:val="22"/>
          <w:szCs w:val="22"/>
        </w:rPr>
        <w:t xml:space="preserve">Tête baissée, le haut de la boîte devrait contenir proportionnellement moins de masse.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Résultat. </w:t>
      </w:r>
      <w:r>
        <w:rPr>
          <w:rFonts w:ascii="Calibri" w:cs="Calibri" w:eastAsia="Calibri" w:hAnsi="Calibri"/>
          <w:sz w:val="22"/>
          <w:szCs w:val="22"/>
        </w:rPr>
        <w:t xml:space="preserve">Échec également.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Cause. </w:t>
      </w:r>
      <w:r>
        <w:rPr>
          <w:rFonts w:ascii="Calibri" w:cs="Calibri" w:eastAsia="Calibri" w:hAnsi="Calibri"/>
          <w:sz w:val="22"/>
          <w:szCs w:val="22"/>
        </w:rPr>
        <w:t xml:space="preserve">Le dos de l'animal, massif, occupe le tiers supérieur quelle que soit la position de la tête. Le signal est noyé.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Troisième approche — la largeur au ras du sol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raisonnement a été repris depuis l'observation physique plutôt que depuis une intuition géométrique. Au niveau du sol, que voit-on réellement 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Animal debout : </w:t>
      </w:r>
      <w:r>
        <w:rPr>
          <w:rFonts w:ascii="Calibri" w:cs="Calibri" w:eastAsia="Calibri" w:hAnsi="Calibri"/>
          <w:sz w:val="22"/>
          <w:szCs w:val="22"/>
        </w:rPr>
        <w:t xml:space="preserve">uniquement des sabots. Quatre colonnes étroites, chacune représentant environ 5 % de la largeur du corps.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Animal qui broute : </w:t>
      </w:r>
      <w:r>
        <w:rPr>
          <w:rFonts w:ascii="Calibri" w:cs="Calibri" w:eastAsia="Calibri" w:hAnsi="Calibri"/>
          <w:sz w:val="22"/>
          <w:szCs w:val="22"/>
        </w:rPr>
        <w:t xml:space="preserve">le mufle est posé au sol. Un bloc plein et continu, représentant 15 à 30 % de la largeur du corps, situé à une extrémité latérale.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critère retenu est donc la plus longue plage horizontale continue de masque dans la bande basse de la silhouette, rapportée à la largeur de l'animal. Ce signal est indépendant de l'orientation, de la distance à la caméra et de la résolution.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34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Largeur relative au sol</w:t>
            </w:r>
          </w:p>
        </w:tc>
        <w:tc>
          <w:tcPr>
            <w:tcW w:type="dxa" w:w="234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Animal debout — sabots seuls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0,05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de broutage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Seuil de décision</w:t>
            </w:r>
          </w:p>
        </w:tc>
        <w:tc>
          <w:tcPr>
            <w:tcW w:type="dxa" w:w="234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0,13</w:t>
            </w:r>
          </w:p>
        </w:tc>
        <w:tc>
          <w:tcPr>
            <w:tcW w:type="dxa" w:w="234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Animal qui broute — mufle au sol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0,20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Broutage détecté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Marge de séparation mesurée : facteur 4 </w:t>
      </w:r>
      <w:r>
        <w:rPr>
          <w:rFonts w:ascii="Calibri" w:cs="Calibri" w:eastAsia="Calibri" w:hAnsi="Calibri"/>
          <w:sz w:val="22"/>
          <w:szCs w:val="22"/>
        </w:rPr>
        <w:t xml:space="preserve">entre les deux situations, ce qui rend le critère robuste.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Deux mécanismes de stabilisation complémentaires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Persistance temporelle. </w:t>
      </w:r>
      <w:r>
        <w:rPr>
          <w:rFonts w:ascii="Calibri" w:cs="Calibri" w:eastAsia="Calibri" w:hAnsi="Calibri"/>
          <w:sz w:val="22"/>
          <w:szCs w:val="22"/>
        </w:rPr>
        <w:t xml:space="preserve">Sur une fenêtre glissante de douze images, il faut qu'au moins la moitié soit en position tête basse pour conclure au broutage. Un artefact isolé est éliminé ; à l'inverse, une image manquée ne rompt pas un broutage établi.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Vote majoritaire sur le comportement. </w:t>
      </w:r>
      <w:r>
        <w:rPr>
          <w:rFonts w:ascii="Calibri" w:cs="Calibri" w:eastAsia="Calibri" w:hAnsi="Calibri"/>
          <w:sz w:val="22"/>
          <w:szCs w:val="22"/>
        </w:rPr>
        <w:t xml:space="preserve">L'étiquette affichée est celle qui domine sur les sept dernières images. Cela supprime les changements d'étiquette erratiques d'une image à l'autre.</w:t>
      </w:r>
    </w:p>
    <w:tbl>
      <w:tblPr>
        <w:tblW w:type="dxa" w:w="9360"/>
        <w:tblBorders>
          <w:top w:val="none"/>
          <w:left w:val="single" w:color="2E74B5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color="auto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Une piste ouverte pour la suite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L'amplitude du balayage latéral du mufle est déjà calculée et disponible dans le système.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animal qui broute déplace continûment son mufle le long du sol ; un animal qui boit ou renifle garde la tête fixe. Ce signal permettrait de distinguer ces situations, aujourd'hui confondues.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dashed" w:color="2E74B5" w:sz="8"/>
          <w:left w:val="dashed" w:color="2E74B5" w:sz="8"/>
          <w:bottom w:val="dashed" w:color="2E74B5" w:sz="8"/>
          <w:right w:val="dashed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FCF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[ ESPACE RÉSERVÉ — INSÉRER LA CAPTURE D'ÉCRAN ICI ]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Suggestion : capture de la scène qui échouait auparavant, montrant les animaux désormais correctement étiquetés.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8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Figure 11 — Détection du broutage — plusieurs animaux étiquetés « pâture »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Tableau récapitulatif des décisions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2000"/>
        <w:gridCol w:w="2000"/>
        <w:gridCol w:w="3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20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20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346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Motif du changement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Détection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YOLOv11-n (détection)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YOLOv11-s (segmentation)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masque isole l'animal du décor et fiabilise l'empreinte de ré-identification</w:t>
            </w:r>
          </w:p>
        </w:tc>
      </w:tr>
      <w:tr>
        <w:tc>
          <w:tcPr>
            <w:tcW w:type="dxa" w:w="19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Exécution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YOLOv11 sur PyTorch/MPS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YOLOv26 sur MLX</w:t>
            </w:r>
          </w:p>
        </w:tc>
        <w:tc>
          <w:tcPr>
            <w:tcW w:type="dxa" w:w="34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Exécution native sur Metal — environ 2,6× plus rapide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de modèle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PyTorch (.pt)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safetensors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Sécurité du chargement et rapidité de mise en mémoire</w:t>
            </w:r>
          </w:p>
        </w:tc>
      </w:tr>
      <w:tr>
        <w:tc>
          <w:tcPr>
            <w:tcW w:type="dxa" w:w="19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Matériel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NVIDIA GTX 1660 Ti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Apple M1 Pro</w:t>
            </w:r>
          </w:p>
        </w:tc>
        <w:tc>
          <w:tcPr>
            <w:tcW w:type="dxa" w:w="34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Mémoire unifiée, absence de transferts, mobilité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Ré-identification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DINOv2 (généraliste)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MegaDescriptor (spécialisé)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Modèle entraîné spécifiquement pour la ré-identification animale</w:t>
            </w:r>
          </w:p>
        </w:tc>
      </w:tr>
      <w:tr>
        <w:tc>
          <w:tcPr>
            <w:tcW w:type="dxa" w:w="19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Race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Histogramme HSV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SigLIP-2 So400m</w:t>
            </w:r>
          </w:p>
        </w:tc>
        <w:tc>
          <w:tcPr>
            <w:tcW w:type="dxa" w:w="34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couleur seule ne sépare pas les races fauves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Confiance sur la race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Meilleur score affiché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Seuil sur la marge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 rien affirmer plutôt qu'affirmer à tort</w:t>
            </w:r>
          </w:p>
        </w:tc>
      </w:tr>
      <w:tr>
        <w:tc>
          <w:tcPr>
            <w:tcW w:type="dxa" w:w="19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Broutage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Ratio d'aspect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Largeur au ras du sol</w:t>
            </w:r>
          </w:p>
        </w:tc>
        <w:tc>
          <w:tcPr>
            <w:tcW w:type="dxa" w:w="34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ratio d'aspect ne discrimine pas en vue de profil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Stabilité temporelle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Décision par image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Fenêtre glissante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Suppression des changements d'étiquette erratiques</w:t>
            </w:r>
          </w:p>
        </w:tc>
      </w:tr>
      <w:tr>
        <w:tc>
          <w:tcPr>
            <w:tcW w:type="dxa" w:w="19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Persistance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unique</w:t>
            </w:r>
          </w:p>
        </w:tc>
        <w:tc>
          <w:tcPr>
            <w:tcW w:type="dxa" w:w="20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par vidéo</w:t>
            </w:r>
          </w:p>
        </w:tc>
        <w:tc>
          <w:tcPr>
            <w:tcW w:type="dxa" w:w="346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Restitution exacte des individus et de leurs noms au retour sur une vidéo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Limites connues et honnêteté scientifique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Les limites suivantes sont énoncées volontairement. Elles délimitent le domaine de validité du système et orientent les développements à venir.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900"/>
        <w:gridCol w:w="3230"/>
        <w:gridCol w:w="323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323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Origine</w:t>
            </w:r>
          </w:p>
        </w:tc>
        <w:tc>
          <w:tcPr>
            <w:tcW w:type="dxa" w:w="3230"/>
            <w:shd w:fill="1F3864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Portée réelle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 positifs inter-espèces</w:t>
            </w:r>
          </w:p>
        </w:tc>
        <w:tc>
          <w:tcPr>
            <w:tcW w:type="dxa" w:w="32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 générique issue de COCO, sans spécialisation sur nos bovins</w:t>
            </w:r>
          </w:p>
        </w:tc>
        <w:tc>
          <w:tcPr>
            <w:tcW w:type="dxa" w:w="32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Faible en exploitation réelle : une caméra fixe sur parcelle d'élevage ne voit pas d'autres espèces massives</w:t>
            </w:r>
          </w:p>
        </w:tc>
      </w:tr>
      <w:tr>
        <w:tc>
          <w:tcPr>
            <w:tcW w:type="dxa" w:w="29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Race non garantie</w:t>
            </w:r>
          </w:p>
        </w:tc>
        <w:tc>
          <w:tcPr>
            <w:tcW w:type="dxa" w:w="323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Classification sans exemple d'entraînement sur des races visuellement proches</w:t>
            </w:r>
          </w:p>
        </w:tc>
        <w:tc>
          <w:tcPr>
            <w:tcW w:type="dxa" w:w="323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Maîtrisée par le seuil de confiance : le système déclare son incertitude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Ré-identification non spécialisée</w:t>
            </w:r>
          </w:p>
        </w:tc>
        <w:tc>
          <w:tcPr>
            <w:tcW w:type="dxa" w:w="32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ajustement fin sur nos propres animaux</w:t>
            </w:r>
          </w:p>
        </w:tc>
        <w:tc>
          <w:tcPr>
            <w:tcW w:type="dxa" w:w="32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Fonctionne sur des troupeaux de taille modérée ; la confusion croît avec l'effectif</w:t>
            </w:r>
          </w:p>
        </w:tc>
      </w:tr>
      <w:tr>
        <w:tc>
          <w:tcPr>
            <w:tcW w:type="dxa" w:w="290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Absence de biométrie du mufle</w:t>
            </w:r>
          </w:p>
        </w:tc>
        <w:tc>
          <w:tcPr>
            <w:tcW w:type="dxa" w:w="323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implémentée à ce jour</w:t>
            </w:r>
          </w:p>
        </w:tc>
        <w:tc>
          <w:tcPr>
            <w:tcW w:type="dxa" w:w="3230"/>
            <w:shd w:fill="F2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C'est la voie identifiée pour dépasser durablement le niveau de précision actuel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Comportements confondus</w:t>
            </w:r>
          </w:p>
        </w:tc>
        <w:tc>
          <w:tcPr>
            <w:tcW w:type="dxa" w:w="32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Boire et brouter présentent la même posture tête basse</w:t>
            </w:r>
          </w:p>
        </w:tc>
        <w:tc>
          <w:tcPr>
            <w:tcW w:type="dxa" w:w="323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balayage latéral du mufle, déjà mesuré, permettrait de les séparer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Perspectives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Trois axes se dégagent, classés par rapport entre effort requis et gain attendu.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Axe 1 — Biométrie du mufle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mufle joue chez les bovins le rôle de l'empreinte digitale chez l'humain. La littérature récente rapporte des taux d'identification supérieurs à 98 % sur cette seule modalité. L'approche consisterait à détecter la zone du mufle sur la tête déjà segmentée, à en calculer une empreinte dédiée, puis à la fusionner avec l'empreinte corporelle existante — avec repli silencieux lorsque le mufle n'est pas visible.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Axe 2 — Spécialisation du détecteur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Ajuster finement YOLO sur un jeu d'images annotées de nos propres bovins éliminerait les faux positifs inter-espèces et améliorerait la détection en conditions difficiles : animaux partiellement masqués, éloignés, ou en contre-jour.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Axe 3 — Refonte de la couche de persistance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 stockage par sérialisation binaire convient à l'échelle actuelle mais ne permet ni requête, ni accès concurrent, ni migration aisée. Une base relationnelle légère constituerait une amélioration immédiate ; au-delà de quelques milliers d'individus, un index de recherche vectorielle deviendrait nécessaire.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pBdr>
          <w:top w:val="single" w:color="2E74B5" w:sz="8" w:space="8"/>
        </w:pBdr>
        <w:spacing w:after="200" w:before="200"/>
      </w:pPr>
      <w:r>
        <w:rPr>
          <w:sz w:val="18"/>
          <w:szCs w:val="18"/>
        </w:rPr>
        <w:t xml:space="preserve"/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Document généré pour accompagner la présentation du projet Boeuf Tracker. Les espaces réservés aux figures sont à compléter avec les captures d'écran illustrant chaque étape.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Boeuf Tracker — Évolution technique et justification des choix</dc:title>
  <dc:creator>Ismael Gansonre</dc:creator>
  <dc:description>De YOLOv11 à YOLOv26, et de NVIDIA CUDA à Apple Silicon</dc:description>
  <cp:lastModifiedBy>Un-named</cp:lastModifiedBy>
  <cp:revision>1</cp:revision>
  <dcterms:created xsi:type="dcterms:W3CDTF">2026-08-03T23:50:00.433Z</dcterms:created>
  <dcterms:modified xsi:type="dcterms:W3CDTF">2026-08-03T23:50:00.434Z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