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sz w:val="18"/>
          <w:szCs w:val="18"/>
        </w:rPr>
        <w:t xml:space="preserve"/>
      </w:r>
    </w:p>
    <w:p>
      <w:pPr>
        <w:spacing w:after="0"/>
      </w:pPr>
      <w:r>
        <w:rPr>
          <w:sz w:val="18"/>
          <w:szCs w:val="18"/>
        </w:rPr>
        <w:t xml:space="preserve"/>
      </w:r>
    </w:p>
    <w:p>
      <w:pPr>
        <w:spacing w:after="0"/>
      </w:pPr>
      <w:r>
        <w:rPr>
          <w:sz w:val="18"/>
          <w:szCs w:val="18"/>
        </w:rPr>
        <w:t xml:space="preserve"/>
      </w:r>
    </w:p>
    <w:p>
      <w:pPr>
        <w:spacing w:after="0"/>
      </w:pPr>
      <w:r>
        <w:rPr>
          <w:sz w:val="18"/>
          <w:szCs w:val="18"/>
        </w:rPr>
        <w:t xml:space="preserve"/>
      </w:r>
    </w:p>
    <w:p>
      <w:pPr>
        <w:spacing w:after="0"/>
      </w:pPr>
      <w:r>
        <w:rPr>
          <w:sz w:val="18"/>
          <w:szCs w:val="18"/>
        </w:rPr>
        <w:t xml:space="preserve"/>
      </w:r>
    </w:p>
    <w:p>
      <w:pPr>
        <w:spacing w:after="0"/>
      </w:pPr>
      <w:r>
        <w:rPr>
          <w:sz w:val="18"/>
          <w:szCs w:val="18"/>
        </w:rPr>
        <w:t xml:space="preserve"/>
      </w:r>
    </w:p>
    <w:p>
      <w:pPr>
        <w:spacing w:after="60" w:before="0" w:line="276"/>
        <w:jc w:val="center"/>
      </w:pPr>
      <w:r>
        <w:rPr>
          <w:rFonts w:ascii="Calibri" w:cs="Calibri" w:eastAsia="Calibri" w:hAnsi="Calibri"/>
          <w:b/>
          <w:bCs/>
          <w:color w:val="1F3864"/>
          <w:sz w:val="56"/>
          <w:szCs w:val="56"/>
        </w:rPr>
        <w:t xml:space="preserve">BOEUF TRACKER</w:t>
      </w:r>
    </w:p>
    <w:p>
      <w:pPr>
        <w:spacing w:after="40" w:before="0" w:line="276"/>
        <w:jc w:val="center"/>
      </w:pPr>
      <w:r>
        <w:rPr>
          <w:rFonts w:ascii="Calibri" w:cs="Calibri" w:eastAsia="Calibri" w:hAnsi="Calibri"/>
          <w:color w:val="2E74B5"/>
          <w:sz w:val="30"/>
          <w:szCs w:val="30"/>
        </w:rPr>
        <w:t xml:space="preserve">Évolution technique et justification des choix</w:t>
      </w:r>
    </w:p>
    <w:p>
      <w:pPr>
        <w:spacing w:after="400" w:before="0" w:line="276"/>
        <w:jc w:val="center"/>
      </w:pPr>
      <w:r>
        <w:rPr>
          <w:rFonts w:ascii="Calibri" w:cs="Calibri" w:eastAsia="Calibri" w:hAnsi="Calibri"/>
          <w:i/>
          <w:iCs/>
          <w:color w:val="808080"/>
          <w:sz w:val="24"/>
          <w:szCs w:val="24"/>
        </w:rPr>
        <w:t xml:space="preserve">De YOLOv11 à YOLOv26 — et de NVIDIA CUDA à Apple Silicon</w:t>
      </w:r>
    </w:p>
    <w:p>
      <w:pPr>
        <w:pBdr>
          <w:bottom w:val="single" w:color="2E74B5" w:sz="12" w:space="6"/>
        </w:pBdr>
        <w:spacing w:after="400"/>
        <w:jc w:val="center"/>
      </w:pPr>
      <w:r>
        <w:rPr>
          <w:sz w:val="20"/>
          <w:szCs w:val="20"/>
        </w:rPr>
        <w:t xml:space="preserve"/>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6360"/>
      </w:tblGrid>
      <w:tr>
        <w:trPr>
          <w:tblHeader/>
        </w:trPr>
        <w:tc>
          <w:tcPr>
            <w:tcW w:type="dxa" w:w="300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Élément</w:t>
            </w:r>
          </w:p>
        </w:tc>
        <w:tc>
          <w:tcPr>
            <w:tcW w:type="dxa" w:w="636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Détail</w:t>
            </w:r>
          </w:p>
        </w:tc>
      </w:tr>
      <w:tr>
        <w:tc>
          <w:tcPr>
            <w:tcW w:type="dxa" w:w="3000"/>
            <w:tcMar>
              <w:top w:type="dxa" w:w="90"/>
              <w:left w:type="dxa" w:w="130"/>
              <w:bottom w:type="dxa" w:w="90"/>
              <w:right w:type="dxa" w:w="130"/>
            </w:tcMar>
          </w:tcPr>
          <w:p>
            <w:pPr>
              <w:spacing w:after="0" w:line="260"/>
            </w:pPr>
            <w:r>
              <w:rPr>
                <w:rFonts w:ascii="Calibri" w:cs="Calibri" w:eastAsia="Calibri" w:hAnsi="Calibri"/>
                <w:sz w:val="20"/>
                <w:szCs w:val="20"/>
              </w:rPr>
              <w:t xml:space="preserve">Projet</w:t>
            </w:r>
          </w:p>
        </w:tc>
        <w:tc>
          <w:tcPr>
            <w:tcW w:type="dxa" w:w="6360"/>
            <w:tcMar>
              <w:top w:type="dxa" w:w="90"/>
              <w:left w:type="dxa" w:w="130"/>
              <w:bottom w:type="dxa" w:w="90"/>
              <w:right w:type="dxa" w:w="130"/>
            </w:tcMar>
          </w:tcPr>
          <w:p>
            <w:pPr>
              <w:spacing w:after="0" w:line="260"/>
            </w:pPr>
            <w:r>
              <w:rPr>
                <w:rFonts w:ascii="Calibri" w:cs="Calibri" w:eastAsia="Calibri" w:hAnsi="Calibri"/>
                <w:sz w:val="20"/>
                <w:szCs w:val="20"/>
              </w:rPr>
              <w:t xml:space="preserve">Système de surveillance et de ré-identification bovine en temps réel</w:t>
            </w:r>
          </w:p>
        </w:tc>
      </w:tr>
      <w:tr>
        <w:tc>
          <w:tcPr>
            <w:tcW w:type="dxa" w:w="30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Auteur</w:t>
            </w:r>
          </w:p>
        </w:tc>
        <w:tc>
          <w:tcPr>
            <w:tcW w:type="dxa" w:w="636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
            </w:r>
          </w:p>
        </w:tc>
      </w:tr>
      <w:tr>
        <w:tc>
          <w:tcPr>
            <w:tcW w:type="dxa" w:w="3000"/>
            <w:tcMar>
              <w:top w:type="dxa" w:w="90"/>
              <w:left w:type="dxa" w:w="130"/>
              <w:bottom w:type="dxa" w:w="90"/>
              <w:right w:type="dxa" w:w="130"/>
            </w:tcMar>
          </w:tcPr>
          <w:p>
            <w:pPr>
              <w:spacing w:after="0" w:line="260"/>
            </w:pPr>
            <w:r>
              <w:rPr>
                <w:rFonts w:ascii="Calibri" w:cs="Calibri" w:eastAsia="Calibri" w:hAnsi="Calibri"/>
                <w:sz w:val="20"/>
                <w:szCs w:val="20"/>
              </w:rPr>
              <w:t xml:space="preserve">Objet du document</w:t>
            </w:r>
          </w:p>
        </w:tc>
        <w:tc>
          <w:tcPr>
            <w:tcW w:type="dxa" w:w="6360"/>
            <w:tcMar>
              <w:top w:type="dxa" w:w="90"/>
              <w:left w:type="dxa" w:w="130"/>
              <w:bottom w:type="dxa" w:w="90"/>
              <w:right w:type="dxa" w:w="130"/>
            </w:tcMar>
          </w:tcPr>
          <w:p>
            <w:pPr>
              <w:spacing w:after="0" w:line="260"/>
            </w:pPr>
            <w:r>
              <w:rPr>
                <w:rFonts w:ascii="Calibri" w:cs="Calibri" w:eastAsia="Calibri" w:hAnsi="Calibri"/>
                <w:sz w:val="20"/>
                <w:szCs w:val="20"/>
              </w:rPr>
              <w:t xml:space="preserve">Retracer, étape par étape, l'évolution du pipeline de vision et justifier chaque choix technologique</w:t>
            </w:r>
          </w:p>
        </w:tc>
      </w:tr>
      <w:tr>
        <w:tc>
          <w:tcPr>
            <w:tcW w:type="dxa" w:w="30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Période couverte</w:t>
            </w:r>
          </w:p>
        </w:tc>
        <w:tc>
          <w:tcPr>
            <w:tcW w:type="dxa" w:w="636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Juin 2026 — Août 2026</w:t>
            </w:r>
          </w:p>
        </w:tc>
      </w:tr>
      <w:tr>
        <w:tc>
          <w:tcPr>
            <w:tcW w:type="dxa" w:w="3000"/>
            <w:tcMar>
              <w:top w:type="dxa" w:w="90"/>
              <w:left w:type="dxa" w:w="130"/>
              <w:bottom w:type="dxa" w:w="90"/>
              <w:right w:type="dxa" w:w="130"/>
            </w:tcMar>
          </w:tcPr>
          <w:p>
            <w:pPr>
              <w:spacing w:after="0" w:line="260"/>
            </w:pPr>
            <w:r>
              <w:rPr>
                <w:rFonts w:ascii="Calibri" w:cs="Calibri" w:eastAsia="Calibri" w:hAnsi="Calibri"/>
                <w:sz w:val="20"/>
                <w:szCs w:val="20"/>
              </w:rPr>
              <w:t xml:space="preserve">Document complémentaire</w:t>
            </w:r>
          </w:p>
        </w:tc>
        <w:tc>
          <w:tcPr>
            <w:tcW w:type="dxa" w:w="6360"/>
            <w:tcMar>
              <w:top w:type="dxa" w:w="90"/>
              <w:left w:type="dxa" w:w="130"/>
              <w:bottom w:type="dxa" w:w="90"/>
              <w:right w:type="dxa" w:w="130"/>
            </w:tcMar>
          </w:tcPr>
          <w:p>
            <w:pPr>
              <w:spacing w:after="0" w:line="260"/>
            </w:pPr>
            <w:r>
              <w:rPr>
                <w:rFonts w:ascii="Calibri" w:cs="Calibri" w:eastAsia="Calibri" w:hAnsi="Calibri"/>
                <w:sz w:val="20"/>
                <w:szCs w:val="20"/>
              </w:rPr>
              <w:t xml:space="preserve">PFE_individuel_rapport_final.md (rapport général du projet)</w:t>
            </w:r>
          </w:p>
        </w:tc>
      </w:tr>
    </w:tbl>
    <w:p>
      <w:r>
        <w:br w:type="page"/>
      </w:r>
    </w:p>
    <w:p>
      <w:pPr>
        <w:pStyle w:val="Heading1"/>
        <w:spacing w:after="180" w:before="360"/>
      </w:pPr>
      <w:r>
        <w:rPr>
          <w:rFonts w:ascii="Calibri" w:cs="Calibri" w:eastAsia="Calibri" w:hAnsi="Calibri"/>
          <w:b/>
          <w:bCs/>
          <w:color w:val="1F3864"/>
          <w:sz w:val="32"/>
          <w:szCs w:val="32"/>
        </w:rPr>
        <w:t xml:space="preserve">Sommaire</w:t>
      </w:r>
    </w:p>
    <w:p>
      <w:pPr>
        <w:spacing w:after="90" w:before="0" w:line="276"/>
      </w:pPr>
      <w:r>
        <w:rPr>
          <w:rFonts w:ascii="Calibri" w:cs="Calibri" w:eastAsia="Calibri" w:hAnsi="Calibri"/>
          <w:b/>
          <w:bCs/>
          <w:color w:val="2E74B5"/>
          <w:sz w:val="22"/>
          <w:szCs w:val="22"/>
        </w:rPr>
        <w:t xml:space="preserve">1.  </w:t>
      </w:r>
      <w:r>
        <w:rPr>
          <w:rFonts w:ascii="Calibri" w:cs="Calibri" w:eastAsia="Calibri" w:hAnsi="Calibri"/>
          <w:sz w:val="22"/>
          <w:szCs w:val="22"/>
        </w:rPr>
        <w:t xml:space="preserve">Objet du document</w:t>
      </w:r>
    </w:p>
    <w:p>
      <w:pPr>
        <w:spacing w:after="90" w:before="0" w:line="276"/>
      </w:pPr>
      <w:r>
        <w:rPr>
          <w:rFonts w:ascii="Calibri" w:cs="Calibri" w:eastAsia="Calibri" w:hAnsi="Calibri"/>
          <w:b/>
          <w:bCs/>
          <w:color w:val="2E74B5"/>
          <w:sz w:val="22"/>
          <w:szCs w:val="22"/>
        </w:rPr>
        <w:t xml:space="preserve">2.  </w:t>
      </w:r>
      <w:r>
        <w:rPr>
          <w:rFonts w:ascii="Calibri" w:cs="Calibri" w:eastAsia="Calibri" w:hAnsi="Calibri"/>
          <w:sz w:val="22"/>
          <w:szCs w:val="22"/>
        </w:rPr>
        <w:t xml:space="preserve">Vue d'ensemble chronologique</w:t>
      </w:r>
    </w:p>
    <w:p>
      <w:pPr>
        <w:spacing w:after="90" w:before="0" w:line="276"/>
      </w:pPr>
      <w:r>
        <w:rPr>
          <w:rFonts w:ascii="Calibri" w:cs="Calibri" w:eastAsia="Calibri" w:hAnsi="Calibri"/>
          <w:b/>
          <w:bCs/>
          <w:color w:val="2E74B5"/>
          <w:sz w:val="22"/>
          <w:szCs w:val="22"/>
        </w:rPr>
        <w:t xml:space="preserve">3.  </w:t>
      </w:r>
      <w:r>
        <w:rPr>
          <w:rFonts w:ascii="Calibri" w:cs="Calibri" w:eastAsia="Calibri" w:hAnsi="Calibri"/>
          <w:sz w:val="22"/>
          <w:szCs w:val="22"/>
        </w:rPr>
        <w:t xml:space="preserve">Étape 1 — Socle initial : YOLOv11 + DINOv2 sur GTX 1660 Ti</w:t>
      </w:r>
    </w:p>
    <w:p>
      <w:pPr>
        <w:spacing w:after="90" w:before="0" w:line="276"/>
      </w:pPr>
      <w:r>
        <w:rPr>
          <w:rFonts w:ascii="Calibri" w:cs="Calibri" w:eastAsia="Calibri" w:hAnsi="Calibri"/>
          <w:b/>
          <w:bCs/>
          <w:color w:val="2E74B5"/>
          <w:sz w:val="22"/>
          <w:szCs w:val="22"/>
        </w:rPr>
        <w:t xml:space="preserve">4.  </w:t>
      </w:r>
      <w:r>
        <w:rPr>
          <w:rFonts w:ascii="Calibri" w:cs="Calibri" w:eastAsia="Calibri" w:hAnsi="Calibri"/>
          <w:sz w:val="22"/>
          <w:szCs w:val="22"/>
        </w:rPr>
        <w:t xml:space="preserve">Étape 2 — De la boîte englobante à la segmentation d'instance</w:t>
      </w:r>
    </w:p>
    <w:p>
      <w:pPr>
        <w:spacing w:after="90" w:before="0" w:line="276"/>
      </w:pPr>
      <w:r>
        <w:rPr>
          <w:rFonts w:ascii="Calibri" w:cs="Calibri" w:eastAsia="Calibri" w:hAnsi="Calibri"/>
          <w:b/>
          <w:bCs/>
          <w:color w:val="2E74B5"/>
          <w:sz w:val="22"/>
          <w:szCs w:val="22"/>
        </w:rPr>
        <w:t xml:space="preserve">5.  </w:t>
      </w:r>
      <w:r>
        <w:rPr>
          <w:rFonts w:ascii="Calibri" w:cs="Calibri" w:eastAsia="Calibri" w:hAnsi="Calibri"/>
          <w:sz w:val="22"/>
          <w:szCs w:val="22"/>
        </w:rPr>
        <w:t xml:space="preserve">Étape 3 — Limite identifiée : les faux positifs inter-espèces</w:t>
      </w:r>
    </w:p>
    <w:p>
      <w:pPr>
        <w:spacing w:after="90" w:before="0" w:line="276"/>
      </w:pPr>
      <w:r>
        <w:rPr>
          <w:rFonts w:ascii="Calibri" w:cs="Calibri" w:eastAsia="Calibri" w:hAnsi="Calibri"/>
          <w:b/>
          <w:bCs/>
          <w:color w:val="2E74B5"/>
          <w:sz w:val="22"/>
          <w:szCs w:val="22"/>
        </w:rPr>
        <w:t xml:space="preserve">6.  </w:t>
      </w:r>
      <w:r>
        <w:rPr>
          <w:rFonts w:ascii="Calibri" w:cs="Calibri" w:eastAsia="Calibri" w:hAnsi="Calibri"/>
          <w:sz w:val="22"/>
          <w:szCs w:val="22"/>
        </w:rPr>
        <w:t xml:space="preserve">Étape 4 — Migration matérielle : NVIDIA GTX 1660 Ti → Apple M1 Pro</w:t>
      </w:r>
    </w:p>
    <w:p>
      <w:pPr>
        <w:spacing w:after="90" w:before="0" w:line="276"/>
      </w:pPr>
      <w:r>
        <w:rPr>
          <w:rFonts w:ascii="Calibri" w:cs="Calibri" w:eastAsia="Calibri" w:hAnsi="Calibri"/>
          <w:b/>
          <w:bCs/>
          <w:color w:val="2E74B5"/>
          <w:sz w:val="22"/>
          <w:szCs w:val="22"/>
        </w:rPr>
        <w:t xml:space="preserve">7.  </w:t>
      </w:r>
      <w:r>
        <w:rPr>
          <w:rFonts w:ascii="Calibri" w:cs="Calibri" w:eastAsia="Calibri" w:hAnsi="Calibri"/>
          <w:sz w:val="22"/>
          <w:szCs w:val="22"/>
        </w:rPr>
        <w:t xml:space="preserve">Étape 5 — YOLOv11 (PyTorch/MPS) → YOLOv26 (MLX / Metal natif)</w:t>
      </w:r>
    </w:p>
    <w:p>
      <w:pPr>
        <w:spacing w:after="90" w:before="0" w:line="276"/>
      </w:pPr>
      <w:r>
        <w:rPr>
          <w:rFonts w:ascii="Calibri" w:cs="Calibri" w:eastAsia="Calibri" w:hAnsi="Calibri"/>
          <w:b/>
          <w:bCs/>
          <w:color w:val="2E74B5"/>
          <w:sz w:val="22"/>
          <w:szCs w:val="22"/>
        </w:rPr>
        <w:t xml:space="preserve">8.  </w:t>
      </w:r>
      <w:r>
        <w:rPr>
          <w:rFonts w:ascii="Calibri" w:cs="Calibri" w:eastAsia="Calibri" w:hAnsi="Calibri"/>
          <w:sz w:val="22"/>
          <w:szCs w:val="22"/>
        </w:rPr>
        <w:t xml:space="preserve">Étape 6 — Reconnaissance de race : HSV → CLIP → SigLIP-2</w:t>
      </w:r>
    </w:p>
    <w:p>
      <w:pPr>
        <w:spacing w:after="90" w:before="0" w:line="276"/>
      </w:pPr>
      <w:r>
        <w:rPr>
          <w:rFonts w:ascii="Calibri" w:cs="Calibri" w:eastAsia="Calibri" w:hAnsi="Calibri"/>
          <w:b/>
          <w:bCs/>
          <w:color w:val="2E74B5"/>
          <w:sz w:val="22"/>
          <w:szCs w:val="22"/>
        </w:rPr>
        <w:t xml:space="preserve">9.  </w:t>
      </w:r>
      <w:r>
        <w:rPr>
          <w:rFonts w:ascii="Calibri" w:cs="Calibri" w:eastAsia="Calibri" w:hAnsi="Calibri"/>
          <w:sz w:val="22"/>
          <w:szCs w:val="22"/>
        </w:rPr>
        <w:t xml:space="preserve">Étape 7 — Ré-identification : DINOv2 → MegaDescriptor</w:t>
      </w:r>
    </w:p>
    <w:p>
      <w:pPr>
        <w:spacing w:after="90" w:before="0" w:line="276"/>
      </w:pPr>
      <w:r>
        <w:rPr>
          <w:rFonts w:ascii="Calibri" w:cs="Calibri" w:eastAsia="Calibri" w:hAnsi="Calibri"/>
          <w:b/>
          <w:bCs/>
          <w:color w:val="2E74B5"/>
          <w:sz w:val="22"/>
          <w:szCs w:val="22"/>
        </w:rPr>
        <w:t xml:space="preserve">10.  </w:t>
      </w:r>
      <w:r>
        <w:rPr>
          <w:rFonts w:ascii="Calibri" w:cs="Calibri" w:eastAsia="Calibri" w:hAnsi="Calibri"/>
          <w:sz w:val="22"/>
          <w:szCs w:val="22"/>
        </w:rPr>
        <w:t xml:space="preserve">Étape 8 — Analyse comportementale : du ratio d'aspect à la posture au sol</w:t>
      </w:r>
    </w:p>
    <w:p>
      <w:pPr>
        <w:spacing w:after="90" w:before="0" w:line="276"/>
      </w:pPr>
      <w:r>
        <w:rPr>
          <w:rFonts w:ascii="Calibri" w:cs="Calibri" w:eastAsia="Calibri" w:hAnsi="Calibri"/>
          <w:b/>
          <w:bCs/>
          <w:color w:val="2E74B5"/>
          <w:sz w:val="22"/>
          <w:szCs w:val="22"/>
        </w:rPr>
        <w:t>11.  Étape 9 — Posture couchée et rappel de détection en troupeau</w:t>
      </w:r>
    </w:p>
    <w:p>
      <w:pPr>
        <w:spacing w:after="90" w:before="0" w:line="276"/>
      </w:pPr>
      <w:r>
        <w:rPr>
          <w:rFonts w:ascii="Calibri" w:cs="Calibri" w:eastAsia="Calibri" w:hAnsi="Calibri"/>
          <w:b/>
          <w:bCs/>
          <w:color w:val="2E74B5"/>
          <w:sz w:val="22"/>
          <w:szCs w:val="22"/>
        </w:rPr>
        <w:t>12.  Étape 10 — Vidéos de terrain au smartphone : comptage et comportements fiabilisés</w:t>
      </w:r>
    </w:p>
    <w:p>
      <w:pPr>
        <w:spacing w:after="90" w:before="0" w:line="276"/>
      </w:pPr>
      <w:r>
        <w:rPr>
          <w:rFonts w:ascii="Calibri" w:cs="Calibri" w:eastAsia="Calibri" w:hAnsi="Calibri"/>
          <w:b/>
          <w:bCs/>
          <w:color w:val="2E74B5"/>
          <w:sz w:val="22"/>
          <w:szCs w:val="22"/>
        </w:rPr>
        <w:t>13.  Tableau récapitulatif des décisions</w:t>
      </w:r>
      <w:r>
        <w:rPr>
          <w:rFonts w:ascii="Calibri" w:cs="Calibri" w:eastAsia="Calibri" w:hAnsi="Calibri"/>
          <w:sz w:val="22"/>
          <w:szCs w:val="22"/>
        </w:rPr>
      </w:r>
    </w:p>
    <w:p>
      <w:pPr>
        <w:spacing w:after="90" w:before="0" w:line="276"/>
      </w:pPr>
      <w:r>
        <w:rPr>
          <w:rFonts w:ascii="Calibri" w:cs="Calibri" w:eastAsia="Calibri" w:hAnsi="Calibri"/>
          <w:b/>
          <w:bCs/>
          <w:color w:val="2E74B5"/>
          <w:sz w:val="22"/>
          <w:szCs w:val="22"/>
        </w:rPr>
        <w:t>14.  Limites connues et honnêteté scientifique</w:t>
      </w:r>
      <w:r>
        <w:rPr>
          <w:rFonts w:ascii="Calibri" w:cs="Calibri" w:eastAsia="Calibri" w:hAnsi="Calibri"/>
          <w:sz w:val="22"/>
          <w:szCs w:val="22"/>
        </w:rPr>
      </w:r>
    </w:p>
    <w:p>
      <w:pPr>
        <w:spacing w:after="90" w:before="0" w:line="276"/>
      </w:pPr>
      <w:r>
        <w:rPr>
          <w:rFonts w:ascii="Calibri" w:cs="Calibri" w:eastAsia="Calibri" w:hAnsi="Calibri"/>
          <w:b/>
          <w:bCs/>
          <w:color w:val="2E74B5"/>
          <w:sz w:val="22"/>
          <w:szCs w:val="22"/>
        </w:rPr>
        <w:t>15.  Perspectives</w:t>
      </w:r>
      <w:r>
        <w:rPr>
          <w:rFonts w:ascii="Calibri" w:cs="Calibri" w:eastAsia="Calibri" w:hAnsi="Calibri"/>
          <w:sz w:val="22"/>
          <w:szCs w:val="22"/>
        </w:rPr>
      </w:r>
    </w:p>
    <w:p>
      <w:r>
        <w:br w:type="page"/>
      </w:r>
    </w:p>
    <w:p>
      <w:pPr>
        <w:pStyle w:val="Heading1"/>
        <w:spacing w:after="180" w:before="360"/>
      </w:pPr>
      <w:r>
        <w:rPr>
          <w:rFonts w:ascii="Calibri" w:cs="Calibri" w:eastAsia="Calibri" w:hAnsi="Calibri"/>
          <w:b/>
          <w:bCs/>
          <w:color w:val="1F3864"/>
          <w:sz w:val="32"/>
          <w:szCs w:val="32"/>
        </w:rPr>
        <w:t xml:space="preserve">1. Objet du document</w:t>
      </w:r>
    </w:p>
    <w:p>
      <w:pPr>
        <w:spacing w:after="120" w:before="0" w:line="276"/>
      </w:pPr>
      <w:r>
        <w:rPr>
          <w:rFonts w:ascii="Calibri" w:cs="Calibri" w:eastAsia="Calibri" w:hAnsi="Calibri"/>
          <w:sz w:val="22"/>
          <w:szCs w:val="22"/>
        </w:rPr>
        <w:t xml:space="preserve">Ce document retrace le cheminement technique du projet Boeuf Tracker. Il ne décrit pas seulement l'état final du système : il explique pourquoi chaque brique a été choisie, quel problème concret l'a motivée, et ce qui a été mesuré ou observé pour valider la décision.</w:t>
      </w:r>
    </w:p>
    <w:p>
      <w:pPr>
        <w:spacing w:after="120" w:before="0" w:line="276"/>
      </w:pPr>
      <w:r>
        <w:rPr>
          <w:rFonts w:ascii="Calibri" w:cs="Calibri" w:eastAsia="Calibri" w:hAnsi="Calibri"/>
          <w:sz w:val="22"/>
          <w:szCs w:val="22"/>
        </w:rPr>
        <w:t xml:space="preserve">La logique de lecture est chronologique. Chaque étape suit la même structure : le problème rencontré, la solution retenue, la justification technique, puis le résultat observé. Des espaces sont réservés pour les captures d'écran qui illustreront chaque point.</w:t>
      </w:r>
    </w:p>
    <w:tbl>
      <w:tblPr>
        <w:tblW w:type="dxa" w:w="9360"/>
        <w:tblBorders>
          <w:top w:val="none"/>
          <w:left w:val="single" w:color="2E74B5" w:sz="18"/>
          <w:bottom w:val="none"/>
          <w:right w:val="none"/>
          <w:insideH w:val="none"/>
          <w:insideV w:val="none"/>
        </w:tblBorders>
      </w:tblPr>
      <w:tblGrid>
        <w:gridCol w:w="9360"/>
      </w:tblGrid>
      <w:tr>
        <w:tc>
          <w:tcPr>
            <w:tcW w:type="dxa" w:w="9360"/>
            <w:shd w:fill="FDF2E9" w:color="auto" w:val="clear"/>
            <w:tcMar>
              <w:top w:type="dxa" w:w="160"/>
              <w:left w:type="dxa" w:w="220"/>
              <w:bottom w:type="dxa" w:w="160"/>
              <w:right w:type="dxa" w:w="180"/>
            </w:tcMar>
          </w:tcPr>
          <w:p>
            <w:pPr>
              <w:spacing w:after="90" w:before="0" w:line="276"/>
            </w:pPr>
            <w:r>
              <w:rPr>
                <w:rFonts w:ascii="Calibri" w:cs="Calibri" w:eastAsia="Calibri" w:hAnsi="Calibri"/>
                <w:b/>
                <w:bCs/>
                <w:color w:val="1F3864"/>
                <w:sz w:val="21"/>
                <w:szCs w:val="21"/>
              </w:rPr>
              <w:t xml:space="preserve">Pourquoi documenter les échecs autant que les réussites</w:t>
            </w:r>
          </w:p>
          <w:p>
            <w:pPr>
              <w:spacing w:after="80" w:before="0" w:line="276"/>
            </w:pPr>
            <w:r>
              <w:rPr>
                <w:rFonts w:ascii="Calibri" w:cs="Calibri" w:eastAsia="Calibri" w:hAnsi="Calibri"/>
                <w:sz w:val="20"/>
                <w:szCs w:val="20"/>
              </w:rPr>
              <w:t xml:space="preserve">Plusieurs approches présentées ici ont été abandonnées après avoir été implémentées et testées (analyse de robe par HSV, classification CLIP, détection de pâture par ratio d'aspect).</w:t>
            </w:r>
          </w:p>
          <w:p>
            <w:pPr>
              <w:spacing w:after="0" w:before="0" w:line="276"/>
            </w:pPr>
            <w:r>
              <w:rPr>
                <w:rFonts w:ascii="Calibri" w:cs="Calibri" w:eastAsia="Calibri" w:hAnsi="Calibri"/>
                <w:sz w:val="20"/>
                <w:szCs w:val="20"/>
              </w:rPr>
              <w:t xml:space="preserve">Ces impasses sont conservées dans le document : elles justifient les solutions actuelles bien mieux qu'une présentation qui ne montrerait que le résultat final.</w:t>
            </w:r>
          </w:p>
        </w:tc>
      </w:tr>
    </w:tbl>
    <w:p>
      <w:pPr>
        <w:pStyle w:val="Heading1"/>
        <w:spacing w:after="180" w:before="360"/>
      </w:pPr>
      <w:r>
        <w:rPr>
          <w:rFonts w:ascii="Calibri" w:cs="Calibri" w:eastAsia="Calibri" w:hAnsi="Calibri"/>
          <w:b/>
          <w:bCs/>
          <w:color w:val="1F3864"/>
          <w:sz w:val="32"/>
          <w:szCs w:val="32"/>
        </w:rPr>
        <w:t xml:space="preserve">2. Vue d'ensemble chronologique</w:t>
      </w:r>
    </w:p>
    <w:p>
      <w:pPr>
        <w:spacing w:after="120" w:before="0" w:line="276"/>
      </w:pPr>
      <w:r>
        <w:rPr>
          <w:rFonts w:ascii="Calibri" w:cs="Calibri" w:eastAsia="Calibri" w:hAnsi="Calibri"/>
          <w:sz w:val="22"/>
          <w:szCs w:val="22"/>
        </w:rPr>
        <w:t xml:space="preserve">Le tableau ci-dessous résume les grandes phases du projet, reconstituées à partir de l'historique de versionnage du dépôt.</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2700"/>
        <w:gridCol w:w="5160"/>
      </w:tblGrid>
      <w:tr>
        <w:trPr>
          <w:tblHeader/>
        </w:trPr>
        <w:tc>
          <w:tcPr>
            <w:tcW w:type="dxa" w:w="150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Période</w:t>
            </w:r>
          </w:p>
        </w:tc>
        <w:tc>
          <w:tcPr>
            <w:tcW w:type="dxa" w:w="270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Phase</w:t>
            </w:r>
          </w:p>
        </w:tc>
        <w:tc>
          <w:tcPr>
            <w:tcW w:type="dxa" w:w="516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Évolution principale</w:t>
            </w:r>
          </w:p>
        </w:tc>
      </w:tr>
      <w:tr>
        <w:tc>
          <w:tcPr>
            <w:tcW w:type="dxa" w:w="1500"/>
            <w:tcMar>
              <w:top w:type="dxa" w:w="90"/>
              <w:left w:type="dxa" w:w="130"/>
              <w:bottom w:type="dxa" w:w="90"/>
              <w:right w:type="dxa" w:w="130"/>
            </w:tcMar>
          </w:tcPr>
          <w:p>
            <w:pPr>
              <w:spacing w:after="0" w:line="260"/>
            </w:pPr>
            <w:r>
              <w:rPr>
                <w:rFonts w:ascii="Calibri" w:cs="Calibri" w:eastAsia="Calibri" w:hAnsi="Calibri"/>
                <w:sz w:val="20"/>
                <w:szCs w:val="20"/>
              </w:rPr>
              <w:t xml:space="preserve">Juin 2026</w:t>
            </w:r>
          </w:p>
        </w:tc>
        <w:tc>
          <w:tcPr>
            <w:tcW w:type="dxa" w:w="2700"/>
            <w:tcMar>
              <w:top w:type="dxa" w:w="90"/>
              <w:left w:type="dxa" w:w="130"/>
              <w:bottom w:type="dxa" w:w="90"/>
              <w:right w:type="dxa" w:w="130"/>
            </w:tcMar>
          </w:tcPr>
          <w:p>
            <w:pPr>
              <w:spacing w:after="0" w:line="260"/>
            </w:pPr>
            <w:r>
              <w:rPr>
                <w:rFonts w:ascii="Calibri" w:cs="Calibri" w:eastAsia="Calibri" w:hAnsi="Calibri"/>
                <w:sz w:val="20"/>
                <w:szCs w:val="20"/>
              </w:rPr>
              <w:t xml:space="preserve">Prototype</w:t>
            </w:r>
          </w:p>
        </w:tc>
        <w:tc>
          <w:tcPr>
            <w:tcW w:type="dxa" w:w="5160"/>
            <w:tcMar>
              <w:top w:type="dxa" w:w="90"/>
              <w:left w:type="dxa" w:w="130"/>
              <w:bottom w:type="dxa" w:w="90"/>
              <w:right w:type="dxa" w:w="130"/>
            </w:tcMar>
          </w:tcPr>
          <w:p>
            <w:pPr>
              <w:spacing w:after="0" w:line="260"/>
            </w:pPr>
            <w:r>
              <w:rPr>
                <w:rFonts w:ascii="Calibri" w:cs="Calibri" w:eastAsia="Calibri" w:hAnsi="Calibri"/>
                <w:sz w:val="20"/>
                <w:szCs w:val="20"/>
              </w:rPr>
              <w:t xml:space="preserve">Pipeline initial sur Google Colab. YOLOv11 + DINOv2. Interface Flask, puis Gradio, puis retour à Flask (tunnels instables).</w:t>
            </w:r>
          </w:p>
        </w:tc>
      </w:tr>
      <w:tr>
        <w:tc>
          <w:tcPr>
            <w:tcW w:type="dxa" w:w="15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Juin 2026</w:t>
            </w:r>
          </w:p>
        </w:tc>
        <w:tc>
          <w:tcPr>
            <w:tcW w:type="dxa" w:w="27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Stabilisation</w:t>
            </w:r>
          </w:p>
        </w:tc>
        <w:tc>
          <w:tcPr>
            <w:tcW w:type="dxa" w:w="516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Passage du flux MJPEG à un sondage JPEG pour contourner les coupures de proxy. Repli CPU si aucun GPU.</w:t>
            </w:r>
          </w:p>
        </w:tc>
      </w:tr>
      <w:tr>
        <w:tc>
          <w:tcPr>
            <w:tcW w:type="dxa" w:w="1500"/>
            <w:tcMar>
              <w:top w:type="dxa" w:w="90"/>
              <w:left w:type="dxa" w:w="130"/>
              <w:bottom w:type="dxa" w:w="90"/>
              <w:right w:type="dxa" w:w="130"/>
            </w:tcMar>
          </w:tcPr>
          <w:p>
            <w:pPr>
              <w:spacing w:after="0" w:line="260"/>
            </w:pPr>
            <w:r>
              <w:rPr>
                <w:rFonts w:ascii="Calibri" w:cs="Calibri" w:eastAsia="Calibri" w:hAnsi="Calibri"/>
                <w:sz w:val="20"/>
                <w:szCs w:val="20"/>
              </w:rPr>
              <w:t xml:space="preserve">Juillet 2026</w:t>
            </w:r>
          </w:p>
        </w:tc>
        <w:tc>
          <w:tcPr>
            <w:tcW w:type="dxa" w:w="2700"/>
            <w:tcMar>
              <w:top w:type="dxa" w:w="90"/>
              <w:left w:type="dxa" w:w="130"/>
              <w:bottom w:type="dxa" w:w="90"/>
              <w:right w:type="dxa" w:w="130"/>
            </w:tcMar>
          </w:tcPr>
          <w:p>
            <w:pPr>
              <w:spacing w:after="0" w:line="260"/>
            </w:pPr>
            <w:r>
              <w:rPr>
                <w:rFonts w:ascii="Calibri" w:cs="Calibri" w:eastAsia="Calibri" w:hAnsi="Calibri"/>
                <w:sz w:val="20"/>
                <w:szCs w:val="20"/>
              </w:rPr>
              <w:t xml:space="preserve">Industrialisation</w:t>
            </w:r>
          </w:p>
        </w:tc>
        <w:tc>
          <w:tcPr>
            <w:tcW w:type="dxa" w:w="5160"/>
            <w:tcMar>
              <w:top w:type="dxa" w:w="90"/>
              <w:left w:type="dxa" w:w="130"/>
              <w:bottom w:type="dxa" w:w="90"/>
              <w:right w:type="dxa" w:w="130"/>
            </w:tcMar>
          </w:tcPr>
          <w:p>
            <w:pPr>
              <w:spacing w:after="0" w:line="260"/>
            </w:pPr>
            <w:r>
              <w:rPr>
                <w:rFonts w:ascii="Calibri" w:cs="Calibri" w:eastAsia="Calibri" w:hAnsi="Calibri"/>
                <w:sz w:val="20"/>
                <w:szCs w:val="20"/>
              </w:rPr>
              <w:t xml:space="preserve">Worker Re-ID asynchrone, interface Bun/Hono découplée, tableau de bord analytique, générateur de noms persistant.</w:t>
            </w:r>
          </w:p>
        </w:tc>
      </w:tr>
      <w:tr>
        <w:tc>
          <w:tcPr>
            <w:tcW w:type="dxa" w:w="15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Juillet 2026</w:t>
            </w:r>
          </w:p>
        </w:tc>
        <w:tc>
          <w:tcPr>
            <w:tcW w:type="dxa" w:w="27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Enrichissement</w:t>
            </w:r>
          </w:p>
        </w:tc>
        <w:tc>
          <w:tcPr>
            <w:tcW w:type="dxa" w:w="516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Reconnaissance de race (CLIP puis SigLIP-2). Application de bureau Tauri. Base de données par vidéo.</w:t>
            </w:r>
          </w:p>
        </w:tc>
      </w:tr>
      <w:tr>
        <w:tc>
          <w:tcPr>
            <w:tcW w:type="dxa" w:w="1500"/>
            <w:tcMar>
              <w:top w:type="dxa" w:w="90"/>
              <w:left w:type="dxa" w:w="130"/>
              <w:bottom w:type="dxa" w:w="90"/>
              <w:right w:type="dxa" w:w="130"/>
            </w:tcMar>
          </w:tcPr>
          <w:p>
            <w:pPr>
              <w:spacing w:after="0" w:line="260"/>
            </w:pPr>
            <w:r>
              <w:rPr>
                <w:rFonts w:ascii="Calibri" w:cs="Calibri" w:eastAsia="Calibri" w:hAnsi="Calibri"/>
                <w:sz w:val="20"/>
                <w:szCs w:val="20"/>
              </w:rPr>
              <w:t xml:space="preserve">Juillet 2026</w:t>
            </w:r>
          </w:p>
        </w:tc>
        <w:tc>
          <w:tcPr>
            <w:tcW w:type="dxa" w:w="2700"/>
            <w:tcMar>
              <w:top w:type="dxa" w:w="90"/>
              <w:left w:type="dxa" w:w="130"/>
              <w:bottom w:type="dxa" w:w="90"/>
              <w:right w:type="dxa" w:w="130"/>
            </w:tcMar>
          </w:tcPr>
          <w:p>
            <w:pPr>
              <w:spacing w:after="0" w:line="260"/>
            </w:pPr>
            <w:r>
              <w:rPr>
                <w:rFonts w:ascii="Calibri" w:cs="Calibri" w:eastAsia="Calibri" w:hAnsi="Calibri"/>
                <w:sz w:val="20"/>
                <w:szCs w:val="20"/>
              </w:rPr>
              <w:t xml:space="preserve">Migration</w:t>
            </w:r>
          </w:p>
        </w:tc>
        <w:tc>
          <w:tcPr>
            <w:tcW w:type="dxa" w:w="5160"/>
            <w:tcMar>
              <w:top w:type="dxa" w:w="90"/>
              <w:left w:type="dxa" w:w="130"/>
              <w:bottom w:type="dxa" w:w="90"/>
              <w:right w:type="dxa" w:w="130"/>
            </w:tcMar>
          </w:tcPr>
          <w:p>
            <w:pPr>
              <w:spacing w:after="0" w:line="260"/>
            </w:pPr>
            <w:r>
              <w:rPr>
                <w:rFonts w:ascii="Calibri" w:cs="Calibri" w:eastAsia="Calibri" w:hAnsi="Calibri"/>
                <w:sz w:val="20"/>
                <w:szCs w:val="20"/>
              </w:rPr>
              <w:t xml:space="preserve">Passage de NVIDIA CUDA à Apple Silicon. CUDA → MPS → MLX. Adoption de YOLOv26 au format safetensors.</w:t>
            </w:r>
          </w:p>
        </w:tc>
      </w:tr>
      <w:tr>
        <w:tc>
          <w:tcPr>
            <w:tcW w:type="dxa" w:w="15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Août 2026</w:t>
            </w:r>
          </w:p>
        </w:tc>
        <w:tc>
          <w:tcPr>
            <w:tcW w:type="dxa" w:w="27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Fiabilisation</w:t>
            </w:r>
          </w:p>
        </w:tc>
        <w:tc>
          <w:tcPr>
            <w:tcW w:type="dxa" w:w="516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Ré-identification par MegaDescriptor. Refonte du module comportemental. Couverture de tests automatisés.</w:t>
            </w:r>
          </w:p>
        </w:tc>
      </w:tr>
    </w:tbl>
    <w:p>
      <w:pPr>
        <w:spacing w:after="0"/>
      </w:pPr>
      <w:r>
        <w:rPr>
          <w:sz w:val="18"/>
          <w:szCs w:val="18"/>
        </w:rPr>
        <w:t xml:space="preserve"/>
      </w:r>
    </w:p>
    <w:p>
      <w:pPr>
        <w:spacing w:after="120"/>
        <w:jc w:val="center"/>
      </w:pPr>
      <w:r>
        <w:drawing>
          <wp:inline xmlns:a="http://schemas.openxmlformats.org/drawingml/2006/main" xmlns:pic="http://schemas.openxmlformats.org/drawingml/2006/picture">
            <wp:extent cx="5669280" cy="3186480"/>
            <wp:docPr id="107" name="capture_interface.jpg"/>
            <wp:cNvGraphicFramePr>
              <a:graphicFrameLocks noChangeAspect="1"/>
            </wp:cNvGraphicFramePr>
            <a:graphic>
              <a:graphicData uri="http://schemas.openxmlformats.org/drawingml/2006/picture">
                <pic:pic>
                  <pic:nvPicPr>
                    <pic:cNvPr id="0" name="capture_interface.jpg"/>
                    <pic:cNvPicPr/>
                  </pic:nvPicPr>
                  <pic:blipFill>
                    <a:blip r:embed="rIdImg7"/>
                    <a:stretch>
                      <a:fillRect/>
                    </a:stretch>
                  </pic:blipFill>
                  <pic:spPr>
                    <a:xfrm>
                      <a:off x="0" y="0"/>
                      <a:ext cx="5669280" cy="3186480"/>
                    </a:xfrm>
                    <a:prstGeom prst="rect"/>
                  </pic:spPr>
                </pic:pic>
              </a:graphicData>
            </a:graphic>
          </wp:inline>
        </w:drawing>
      </w:r>
    </w:p>
    <w:p>
      <w:pPr>
        <w:spacing w:after="220" w:before="80" w:line="276"/>
        <w:jc w:val="center"/>
      </w:pPr>
      <w:r>
        <w:rPr>
          <w:rFonts w:ascii="Calibri" w:cs="Calibri" w:eastAsia="Calibri" w:hAnsi="Calibri"/>
          <w:i/>
          <w:iCs/>
          <w:color w:val="808080"/>
          <w:sz w:val="18"/>
          <w:szCs w:val="18"/>
        </w:rPr>
        <w:t xml:space="preserve">Figure 1 — Vue d'ensemble de l'interface en fonctionnement</w:t>
      </w:r>
    </w:p>
    <w:p>
      <w:r>
        <w:br w:type="page"/>
      </w:r>
    </w:p>
    <w:p>
      <w:pPr>
        <w:pStyle w:val="Heading1"/>
        <w:spacing w:after="180" w:before="360"/>
      </w:pPr>
      <w:r>
        <w:rPr>
          <w:rFonts w:ascii="Calibri" w:cs="Calibri" w:eastAsia="Calibri" w:hAnsi="Calibri"/>
          <w:b/>
          <w:bCs/>
          <w:color w:val="1F3864"/>
          <w:sz w:val="32"/>
          <w:szCs w:val="32"/>
        </w:rPr>
        <w:t xml:space="preserve">3. Étape 1 — Socle initial : YOLOv11 + DINOv2 sur GTX 1660 Ti</w:t>
      </w:r>
    </w:p>
    <w:p>
      <w:pPr>
        <w:pStyle w:val="Heading2"/>
        <w:spacing w:after="140" w:before="260"/>
      </w:pPr>
      <w:r>
        <w:rPr>
          <w:rFonts w:ascii="Calibri" w:cs="Calibri" w:eastAsia="Calibri" w:hAnsi="Calibri"/>
          <w:b/>
          <w:bCs/>
          <w:color w:val="2E74B5"/>
          <w:sz w:val="26"/>
          <w:szCs w:val="26"/>
        </w:rPr>
        <w:t xml:space="preserve">Le besoin</w:t>
      </w:r>
    </w:p>
    <w:p>
      <w:pPr>
        <w:spacing w:after="120" w:before="0" w:line="276"/>
      </w:pPr>
      <w:r>
        <w:rPr>
          <w:rFonts w:ascii="Calibri" w:cs="Calibri" w:eastAsia="Calibri" w:hAnsi="Calibri"/>
          <w:sz w:val="22"/>
          <w:szCs w:val="22"/>
        </w:rPr>
        <w:t xml:space="preserve">Détecter des bovins dans un flux vidéo, les suivre d'une image à l'autre, et surtout les reconnaître individuellement d'une vidéo à l'autre — sans disposer d'un jeu de données annoté.</w:t>
      </w:r>
    </w:p>
    <w:p>
      <w:pPr>
        <w:pStyle w:val="Heading2"/>
        <w:spacing w:after="140" w:before="260"/>
      </w:pPr>
      <w:r>
        <w:rPr>
          <w:rFonts w:ascii="Calibri" w:cs="Calibri" w:eastAsia="Calibri" w:hAnsi="Calibri"/>
          <w:b/>
          <w:bCs/>
          <w:color w:val="2E74B5"/>
          <w:sz w:val="26"/>
          <w:szCs w:val="26"/>
        </w:rPr>
        <w:t xml:space="preserve">Pourquoi YOLOv11</w:t>
      </w:r>
    </w:p>
    <w:p>
      <w:pPr>
        <w:pStyle w:val="ListParagraph"/>
        <w:numPr>
          <w:ilvl w:val="0"/>
          <w:numId w:val="2"/>
        </w:numPr>
        <w:spacing w:after="80" w:line="276"/>
      </w:pPr>
      <w:r>
        <w:rPr>
          <w:rFonts w:ascii="Calibri" w:cs="Calibri" w:eastAsia="Calibri" w:hAnsi="Calibri"/>
          <w:sz w:val="22"/>
          <w:szCs w:val="22"/>
        </w:rPr>
        <w:t xml:space="preserve">Le jeu de données COCO, sur lequel YOLOv11 est pré-entraîné, contient déjà une classe « cow » (identifiant 19). Le système fonctionne donc immédiatement, sans annotation ni entraînement.</w:t>
      </w:r>
    </w:p>
    <w:p>
      <w:pPr>
        <w:pStyle w:val="ListParagraph"/>
        <w:numPr>
          <w:ilvl w:val="0"/>
          <w:numId w:val="2"/>
        </w:numPr>
        <w:spacing w:after="80" w:line="276"/>
      </w:pPr>
      <w:r>
        <w:rPr>
          <w:rFonts w:ascii="Calibri" w:cs="Calibri" w:eastAsia="Calibri" w:hAnsi="Calibri"/>
          <w:sz w:val="22"/>
          <w:szCs w:val="22"/>
        </w:rPr>
        <w:t xml:space="preserve">Ultralytics intègre nativement le suivi multi-objets ByteTrack : la détection et le suivi sont obtenus en un seul appel.</w:t>
      </w:r>
    </w:p>
    <w:p>
      <w:pPr>
        <w:pStyle w:val="ListParagraph"/>
        <w:numPr>
          <w:ilvl w:val="0"/>
          <w:numId w:val="2"/>
        </w:numPr>
        <w:spacing w:after="80" w:line="276"/>
      </w:pPr>
      <w:r>
        <w:rPr>
          <w:rFonts w:ascii="Calibri" w:cs="Calibri" w:eastAsia="Calibri" w:hAnsi="Calibri"/>
          <w:sz w:val="22"/>
          <w:szCs w:val="22"/>
        </w:rPr>
        <w:t xml:space="preserve">La littérature comparative en suivi de bétail place ByteTrack et ses variantes parmi les méthodes de référence.</w:t>
      </w:r>
    </w:p>
    <w:p>
      <w:pPr>
        <w:pStyle w:val="ListParagraph"/>
        <w:numPr>
          <w:ilvl w:val="0"/>
          <w:numId w:val="2"/>
        </w:numPr>
        <w:spacing w:after="80" w:line="276"/>
      </w:pPr>
      <w:r>
        <w:rPr>
          <w:rFonts w:ascii="Calibri" w:cs="Calibri" w:eastAsia="Calibri" w:hAnsi="Calibri"/>
          <w:sz w:val="22"/>
          <w:szCs w:val="22"/>
        </w:rPr>
        <w:t xml:space="preserve">Le modèle est décliné en plusieurs tailles (n, s, m, l, x), ce qui permet d'arbitrer précision et vitesse selon le matériel.</w:t>
      </w:r>
    </w:p>
    <w:p>
      <w:pPr>
        <w:pStyle w:val="Heading2"/>
        <w:spacing w:after="140" w:before="260"/>
      </w:pPr>
      <w:r>
        <w:rPr>
          <w:rFonts w:ascii="Calibri" w:cs="Calibri" w:eastAsia="Calibri" w:hAnsi="Calibri"/>
          <w:b/>
          <w:bCs/>
          <w:color w:val="2E74B5"/>
          <w:sz w:val="26"/>
          <w:szCs w:val="26"/>
        </w:rPr>
        <w:t xml:space="preserve">Pourquoi DINOv2 pour la ré-identification</w:t>
      </w:r>
    </w:p>
    <w:p>
      <w:pPr>
        <w:spacing w:after="120" w:before="0" w:line="276"/>
      </w:pPr>
      <w:r>
        <w:rPr>
          <w:rFonts w:ascii="Calibri" w:cs="Calibri" w:eastAsia="Calibri" w:hAnsi="Calibri"/>
          <w:sz w:val="22"/>
          <w:szCs w:val="22"/>
        </w:rPr>
        <w:t xml:space="preserve">Reconnaître un individu suppose une empreinte visuelle stable. Deux voies existaient : entraîner un réseau dédié sur nos propres bovins, ou utiliser un extracteur de caractéristiques générique.</w:t>
      </w:r>
    </w:p>
    <w:p>
      <w:pPr>
        <w:pStyle w:val="ListParagraph"/>
        <w:numPr>
          <w:ilvl w:val="0"/>
          <w:numId w:val="2"/>
        </w:numPr>
        <w:spacing w:after="80" w:line="276"/>
      </w:pPr>
      <w:r>
        <w:rPr>
          <w:rFonts w:ascii="Calibri" w:cs="Calibri" w:eastAsia="Calibri" w:hAnsi="Calibri"/>
          <w:b/>
          <w:bCs/>
          <w:sz w:val="22"/>
          <w:szCs w:val="22"/>
        </w:rPr>
        <w:t xml:space="preserve">Sans annotation. </w:t>
      </w:r>
      <w:r>
        <w:rPr>
          <w:rFonts w:ascii="Calibri" w:cs="Calibri" w:eastAsia="Calibri" w:hAnsi="Calibri"/>
          <w:sz w:val="22"/>
          <w:szCs w:val="22"/>
        </w:rPr>
        <w:t xml:space="preserve">DINOv2 est auto-supervisé : il produit un vecteur descriptif sans qu'aucune étiquette soit nécessaire.</w:t>
      </w:r>
    </w:p>
    <w:p>
      <w:pPr>
        <w:pStyle w:val="ListParagraph"/>
        <w:numPr>
          <w:ilvl w:val="0"/>
          <w:numId w:val="2"/>
        </w:numPr>
        <w:spacing w:after="80" w:line="276"/>
      </w:pPr>
      <w:r>
        <w:rPr>
          <w:rFonts w:ascii="Calibri" w:cs="Calibri" w:eastAsia="Calibri" w:hAnsi="Calibri"/>
          <w:b/>
          <w:bCs/>
          <w:sz w:val="22"/>
          <w:szCs w:val="22"/>
        </w:rPr>
        <w:t xml:space="preserve">Fusion multi-signaux. </w:t>
      </w:r>
      <w:r>
        <w:rPr>
          <w:rFonts w:ascii="Calibri" w:cs="Calibri" w:eastAsia="Calibri" w:hAnsi="Calibri"/>
          <w:sz w:val="22"/>
          <w:szCs w:val="22"/>
        </w:rPr>
        <w:t xml:space="preserve">L'empreinte DINOv2 a été complétée par un histogramme HSV (couleur de la robe) et un descripteur LBP (texture du pelage). Ces trois signaux sont complémentaires : le réseau profond capte la forme et la sémantique, l'histogramme la teinte, le LBP le motif fin.</w:t>
      </w:r>
    </w:p>
    <w:p>
      <w:pPr>
        <w:pStyle w:val="Heading2"/>
        <w:spacing w:after="140" w:before="260"/>
      </w:pPr>
      <w:r>
        <w:rPr>
          <w:rFonts w:ascii="Calibri" w:cs="Calibri" w:eastAsia="Calibri" w:hAnsi="Calibri"/>
          <w:b/>
          <w:bCs/>
          <w:color w:val="2E74B5"/>
          <w:sz w:val="26"/>
          <w:szCs w:val="26"/>
        </w:rPr>
        <w:t xml:space="preserve">Le matériel de départ</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200"/>
        <w:gridCol w:w="6160"/>
      </w:tblGrid>
      <w:tr>
        <w:trPr>
          <w:tblHeader/>
        </w:trPr>
        <w:tc>
          <w:tcPr>
            <w:tcW w:type="dxa" w:w="320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Caractéristique</w:t>
            </w:r>
          </w:p>
        </w:tc>
        <w:tc>
          <w:tcPr>
            <w:tcW w:type="dxa" w:w="616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GTX 1660 Ti</w:t>
            </w:r>
          </w:p>
        </w:tc>
      </w:tr>
      <w:tr>
        <w:tc>
          <w:tcPr>
            <w:tcW w:type="dxa" w:w="3200"/>
            <w:tcMar>
              <w:top w:type="dxa" w:w="90"/>
              <w:left w:type="dxa" w:w="130"/>
              <w:bottom w:type="dxa" w:w="90"/>
              <w:right w:type="dxa" w:w="130"/>
            </w:tcMar>
          </w:tcPr>
          <w:p>
            <w:pPr>
              <w:spacing w:after="0" w:line="260"/>
            </w:pPr>
            <w:r>
              <w:rPr>
                <w:rFonts w:ascii="Calibri" w:cs="Calibri" w:eastAsia="Calibri" w:hAnsi="Calibri"/>
                <w:sz w:val="20"/>
                <w:szCs w:val="20"/>
              </w:rPr>
              <w:t xml:space="preserve">Architecture</w:t>
            </w:r>
          </w:p>
        </w:tc>
        <w:tc>
          <w:tcPr>
            <w:tcW w:type="dxa" w:w="6160"/>
            <w:tcMar>
              <w:top w:type="dxa" w:w="90"/>
              <w:left w:type="dxa" w:w="130"/>
              <w:bottom w:type="dxa" w:w="90"/>
              <w:right w:type="dxa" w:w="130"/>
            </w:tcMar>
          </w:tcPr>
          <w:p>
            <w:pPr>
              <w:spacing w:after="0" w:line="260"/>
            </w:pPr>
            <w:r>
              <w:rPr>
                <w:rFonts w:ascii="Calibri" w:cs="Calibri" w:eastAsia="Calibri" w:hAnsi="Calibri"/>
                <w:sz w:val="20"/>
                <w:szCs w:val="20"/>
              </w:rPr>
              <w:t xml:space="preserve">Turing (sm_75)</w:t>
            </w:r>
          </w:p>
        </w:tc>
      </w:tr>
      <w:tr>
        <w:tc>
          <w:tcPr>
            <w:tcW w:type="dxa" w:w="32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Cœurs CUDA</w:t>
            </w:r>
          </w:p>
        </w:tc>
        <w:tc>
          <w:tcPr>
            <w:tcW w:type="dxa" w:w="616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1536</w:t>
            </w:r>
          </w:p>
        </w:tc>
      </w:tr>
      <w:tr>
        <w:tc>
          <w:tcPr>
            <w:tcW w:type="dxa" w:w="3200"/>
            <w:tcMar>
              <w:top w:type="dxa" w:w="90"/>
              <w:left w:type="dxa" w:w="130"/>
              <w:bottom w:type="dxa" w:w="90"/>
              <w:right w:type="dxa" w:w="130"/>
            </w:tcMar>
          </w:tcPr>
          <w:p>
            <w:pPr>
              <w:spacing w:after="0" w:line="260"/>
            </w:pPr>
            <w:r>
              <w:rPr>
                <w:rFonts w:ascii="Calibri" w:cs="Calibri" w:eastAsia="Calibri" w:hAnsi="Calibri"/>
                <w:sz w:val="20"/>
                <w:szCs w:val="20"/>
              </w:rPr>
              <w:t xml:space="preserve">Mémoire vidéo</w:t>
            </w:r>
          </w:p>
        </w:tc>
        <w:tc>
          <w:tcPr>
            <w:tcW w:type="dxa" w:w="6160"/>
            <w:tcMar>
              <w:top w:type="dxa" w:w="90"/>
              <w:left w:type="dxa" w:w="130"/>
              <w:bottom w:type="dxa" w:w="90"/>
              <w:right w:type="dxa" w:w="130"/>
            </w:tcMar>
          </w:tcPr>
          <w:p>
            <w:pPr>
              <w:spacing w:after="0" w:line="260"/>
            </w:pPr>
            <w:r>
              <w:rPr>
                <w:rFonts w:ascii="Calibri" w:cs="Calibri" w:eastAsia="Calibri" w:hAnsi="Calibri"/>
                <w:sz w:val="20"/>
                <w:szCs w:val="20"/>
              </w:rPr>
              <w:t xml:space="preserve">6 Go GDDR6</w:t>
            </w:r>
          </w:p>
        </w:tc>
      </w:tr>
      <w:tr>
        <w:tc>
          <w:tcPr>
            <w:tcW w:type="dxa" w:w="32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Cœurs Tensor dédiés</w:t>
            </w:r>
          </w:p>
        </w:tc>
        <w:tc>
          <w:tcPr>
            <w:tcW w:type="dxa" w:w="616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Aucun — le FP16 apporte environ 1,5× seulement</w:t>
            </w:r>
          </w:p>
        </w:tc>
      </w:tr>
      <w:tr>
        <w:tc>
          <w:tcPr>
            <w:tcW w:type="dxa" w:w="3200"/>
            <w:tcMar>
              <w:top w:type="dxa" w:w="90"/>
              <w:left w:type="dxa" w:w="130"/>
              <w:bottom w:type="dxa" w:w="90"/>
              <w:right w:type="dxa" w:w="130"/>
            </w:tcMar>
          </w:tcPr>
          <w:p>
            <w:pPr>
              <w:spacing w:after="0" w:line="260"/>
            </w:pPr>
            <w:r>
              <w:rPr>
                <w:rFonts w:ascii="Calibri" w:cs="Calibri" w:eastAsia="Calibri" w:hAnsi="Calibri"/>
                <w:sz w:val="20"/>
                <w:szCs w:val="20"/>
              </w:rPr>
              <w:t xml:space="preserve">Débit mesuré</w:t>
            </w:r>
          </w:p>
        </w:tc>
        <w:tc>
          <w:tcPr>
            <w:tcW w:type="dxa" w:w="6160"/>
            <w:tcMar>
              <w:top w:type="dxa" w:w="90"/>
              <w:left w:type="dxa" w:w="130"/>
              <w:bottom w:type="dxa" w:w="90"/>
              <w:right w:type="dxa" w:w="130"/>
            </w:tcMar>
          </w:tcPr>
          <w:p>
            <w:pPr>
              <w:spacing w:after="0" w:line="260"/>
            </w:pPr>
            <w:r>
              <w:rPr>
                <w:rFonts w:ascii="Calibri" w:cs="Calibri" w:eastAsia="Calibri" w:hAnsi="Calibri"/>
                <w:sz w:val="20"/>
                <w:szCs w:val="20"/>
              </w:rPr>
              <w:t xml:space="preserve">20 à 28 images/s avec yolo11s-seg en 640 px</w:t>
            </w:r>
          </w:p>
        </w:tc>
      </w:tr>
    </w:tbl>
    <w:p>
      <w:pPr>
        <w:spacing w:after="0"/>
      </w:pPr>
      <w:r>
        <w:rPr>
          <w:sz w:val="18"/>
          <w:szCs w:val="18"/>
        </w:rPr>
        <w:t xml:space="preserve"/>
      </w:r>
    </w:p>
    <w:tbl>
      <w:tblPr>
        <w:tblW w:type="dxa" w:w="9360"/>
        <w:tblBorders>
          <w:top w:val="none"/>
          <w:left w:val="single" w:color="2E74B5" w:sz="18"/>
          <w:bottom w:val="none"/>
          <w:right w:val="none"/>
          <w:insideH w:val="none"/>
          <w:insideV w:val="none"/>
        </w:tblBorders>
      </w:tblPr>
      <w:tblGrid>
        <w:gridCol w:w="9360"/>
      </w:tblGrid>
      <w:tr>
        <w:tc>
          <w:tcPr>
            <w:tcW w:type="dxa" w:w="9360"/>
            <w:shd w:fill="FDF2E9" w:color="auto" w:val="clear"/>
            <w:tcMar>
              <w:top w:type="dxa" w:w="160"/>
              <w:left w:type="dxa" w:w="220"/>
              <w:bottom w:type="dxa" w:w="160"/>
              <w:right w:type="dxa" w:w="180"/>
            </w:tcMar>
          </w:tcPr>
          <w:p>
            <w:pPr>
              <w:spacing w:after="90" w:before="0" w:line="276"/>
            </w:pPr>
            <w:r>
              <w:rPr>
                <w:rFonts w:ascii="Calibri" w:cs="Calibri" w:eastAsia="Calibri" w:hAnsi="Calibri"/>
                <w:b/>
                <w:bCs/>
                <w:color w:val="1F3864"/>
                <w:sz w:val="21"/>
                <w:szCs w:val="21"/>
              </w:rPr>
              <w:t xml:space="preserve">La contrainte qui a orienté toute la suite</w:t>
            </w:r>
          </w:p>
          <w:p>
            <w:pPr>
              <w:spacing w:after="80" w:before="0" w:line="276"/>
            </w:pPr>
            <w:r>
              <w:rPr>
                <w:rFonts w:ascii="Calibri" w:cs="Calibri" w:eastAsia="Calibri" w:hAnsi="Calibri"/>
                <w:sz w:val="20"/>
                <w:szCs w:val="20"/>
              </w:rPr>
              <w:t xml:space="preserve">L'absence de cœurs Tensor sur l'architecture Turing plafonne le gain apporté par la demi-précision.</w:t>
            </w:r>
          </w:p>
          <w:p>
            <w:pPr>
              <w:spacing w:after="0" w:before="0" w:line="276"/>
            </w:pPr>
            <w:r>
              <w:rPr>
                <w:rFonts w:ascii="Calibri" w:cs="Calibri" w:eastAsia="Calibri" w:hAnsi="Calibri"/>
                <w:sz w:val="20"/>
                <w:szCs w:val="20"/>
              </w:rPr>
              <w:t xml:space="preserve">Le pipeline a donc été optimisé pour le débit plutôt que pour la précision maximale : résolution d'inférence modérée, calcul d'empreinte espacé dans le temps, et traitement d'une image sur deux lorsque nécessaire.</w:t>
            </w:r>
          </w:p>
        </w:tc>
      </w:tr>
    </w:tbl>
    <w:p>
      <w:pPr>
        <w:spacing w:after="0"/>
      </w:pPr>
      <w:r>
        <w:rPr>
          <w:sz w:val="18"/>
          <w:szCs w:val="18"/>
        </w:rPr>
        <w:t xml:space="preserve"/>
      </w:r>
    </w:p>
    <w:p>
      <w:pPr>
        <w:spacing w:after="120"/>
        <w:jc w:val="center"/>
      </w:pPr>
      <w:r>
        <w:drawing>
          <wp:inline xmlns:a="http://schemas.openxmlformats.org/drawingml/2006/main" xmlns:pic="http://schemas.openxmlformats.org/drawingml/2006/picture">
            <wp:extent cx="5669280" cy="3186480"/>
            <wp:docPr id="108" name="capture_detection.jpg"/>
            <wp:cNvGraphicFramePr>
              <a:graphicFrameLocks noChangeAspect="1"/>
            </wp:cNvGraphicFramePr>
            <a:graphic>
              <a:graphicData uri="http://schemas.openxmlformats.org/drawingml/2006/picture">
                <pic:pic>
                  <pic:nvPicPr>
                    <pic:cNvPr id="0" name="capture_detection.jpg"/>
                    <pic:cNvPicPr/>
                  </pic:nvPicPr>
                  <pic:blipFill>
                    <a:blip r:embed="rIdImg8"/>
                    <a:stretch>
                      <a:fillRect/>
                    </a:stretch>
                  </pic:blipFill>
                  <pic:spPr>
                    <a:xfrm>
                      <a:off x="0" y="0"/>
                      <a:ext cx="5669280" cy="3186480"/>
                    </a:xfrm>
                    <a:prstGeom prst="rect"/>
                  </pic:spPr>
                </pic:pic>
              </a:graphicData>
            </a:graphic>
          </wp:inline>
        </w:drawing>
      </w:r>
    </w:p>
    <w:p>
      <w:pPr>
        <w:spacing w:after="220" w:before="80" w:line="276"/>
        <w:jc w:val="center"/>
      </w:pPr>
      <w:r>
        <w:rPr>
          <w:rFonts w:ascii="Calibri" w:cs="Calibri" w:eastAsia="Calibri" w:hAnsi="Calibri"/>
          <w:i/>
          <w:iCs/>
          <w:color w:val="808080"/>
          <w:sz w:val="18"/>
          <w:szCs w:val="18"/>
        </w:rPr>
        <w:t xml:space="preserve">Figure 2 — Détection de bovins avec le modèle YOLOv11</w:t>
      </w:r>
    </w:p>
    <w:p>
      <w:r>
        <w:br w:type="page"/>
      </w:r>
    </w:p>
    <w:p>
      <w:pPr>
        <w:pStyle w:val="Heading1"/>
        <w:spacing w:after="180" w:before="360"/>
      </w:pPr>
      <w:r>
        <w:rPr>
          <w:rFonts w:ascii="Calibri" w:cs="Calibri" w:eastAsia="Calibri" w:hAnsi="Calibri"/>
          <w:b/>
          <w:bCs/>
          <w:color w:val="1F3864"/>
          <w:sz w:val="32"/>
          <w:szCs w:val="32"/>
        </w:rPr>
        <w:t xml:space="preserve">4. Étape 2 — De la boîte englobante à la segmentation d'instance</w:t>
      </w:r>
    </w:p>
    <w:p>
      <w:pPr>
        <w:pStyle w:val="Heading2"/>
        <w:spacing w:after="140" w:before="260"/>
      </w:pPr>
      <w:r>
        <w:rPr>
          <w:rFonts w:ascii="Calibri" w:cs="Calibri" w:eastAsia="Calibri" w:hAnsi="Calibri"/>
          <w:b/>
          <w:bCs/>
          <w:color w:val="2E74B5"/>
          <w:sz w:val="26"/>
          <w:szCs w:val="26"/>
        </w:rPr>
        <w:t xml:space="preserve">Le problème observé</w:t>
      </w:r>
    </w:p>
    <w:p>
      <w:pPr>
        <w:spacing w:after="120" w:before="0" w:line="276"/>
      </w:pPr>
      <w:r>
        <w:rPr>
          <w:rFonts w:ascii="Calibri" w:cs="Calibri" w:eastAsia="Calibri" w:hAnsi="Calibri"/>
          <w:sz w:val="22"/>
          <w:szCs w:val="22"/>
        </w:rPr>
        <w:t xml:space="preserve">Une boîte englobante rectangulaire autour d'un bovin contient beaucoup d'éléments qui ne sont pas l'animal : herbe, ciel, portions d'un congénère voisin. Or l'imagette découpée dans cette boîte sert à calculer l'empreinte de ré-identification.</w:t>
      </w:r>
    </w:p>
    <w:p>
      <w:pPr>
        <w:spacing w:after="120" w:before="0" w:line="276"/>
      </w:pPr>
      <w:r>
        <w:rPr>
          <w:rFonts w:ascii="Calibri" w:cs="Calibri" w:eastAsia="Calibri" w:hAnsi="Calibri"/>
          <w:sz w:val="22"/>
          <w:szCs w:val="22"/>
        </w:rPr>
        <w:t xml:space="preserve">Conséquence directe : deux bovins photographiés sur un fond identique obtiennent des empreintes artificiellement proches, parce que le fond commun pèse dans le calcul. La confusion entre individus augmente.</w:t>
      </w:r>
    </w:p>
    <w:p>
      <w:pPr>
        <w:pStyle w:val="Heading2"/>
        <w:spacing w:after="140" w:before="260"/>
      </w:pPr>
      <w:r>
        <w:rPr>
          <w:rFonts w:ascii="Calibri" w:cs="Calibri" w:eastAsia="Calibri" w:hAnsi="Calibri"/>
          <w:b/>
          <w:bCs/>
          <w:color w:val="2E74B5"/>
          <w:sz w:val="26"/>
          <w:szCs w:val="26"/>
        </w:rPr>
        <w:t xml:space="preserve">La décision</w:t>
      </w:r>
    </w:p>
    <w:p>
      <w:pPr>
        <w:spacing w:after="120" w:before="0" w:line="276"/>
      </w:pPr>
      <w:r>
        <w:rPr>
          <w:rFonts w:ascii="Calibri" w:cs="Calibri" w:eastAsia="Calibri" w:hAnsi="Calibri"/>
          <w:b/>
          <w:bCs/>
          <w:sz w:val="22"/>
          <w:szCs w:val="22"/>
        </w:rPr>
        <w:t xml:space="preserve">Passage de yolo11n.pt à yolo11s-seg.pt</w:t>
      </w:r>
      <w:r>
        <w:rPr>
          <w:rFonts w:ascii="Calibri" w:cs="Calibri" w:eastAsia="Calibri" w:hAnsi="Calibri"/>
          <w:sz w:val="22"/>
          <w:szCs w:val="22"/>
        </w:rPr>
        <w:t xml:space="preserve"> — c'est-à-dire d'un modèle de détection pure à un modèle de segmentation d'instance, qui produit un masque au pixel près épousant la silhouette exacte de chaque animal.</w:t>
      </w:r>
    </w:p>
    <w:p>
      <w:pPr>
        <w:pStyle w:val="Heading2"/>
        <w:spacing w:after="140" w:before="260"/>
      </w:pPr>
      <w:r>
        <w:rPr>
          <w:rFonts w:ascii="Calibri" w:cs="Calibri" w:eastAsia="Calibri" w:hAnsi="Calibri"/>
          <w:b/>
          <w:bCs/>
          <w:color w:val="2E74B5"/>
          <w:sz w:val="26"/>
          <w:szCs w:val="26"/>
        </w:rPr>
        <w:t xml:space="preserve">Les bénéfices, dont un imprévu</w:t>
      </w:r>
    </w:p>
    <w:p>
      <w:pPr>
        <w:pStyle w:val="ListParagraph"/>
        <w:numPr>
          <w:ilvl w:val="0"/>
          <w:numId w:val="2"/>
        </w:numPr>
        <w:spacing w:after="80" w:line="276"/>
      </w:pPr>
      <w:r>
        <w:rPr>
          <w:rFonts w:ascii="Calibri" w:cs="Calibri" w:eastAsia="Calibri" w:hAnsi="Calibri"/>
          <w:b/>
          <w:bCs/>
          <w:sz w:val="22"/>
          <w:szCs w:val="22"/>
        </w:rPr>
        <w:t xml:space="preserve">Empreinte plus propre. </w:t>
      </w:r>
      <w:r>
        <w:rPr>
          <w:rFonts w:ascii="Calibri" w:cs="Calibri" w:eastAsia="Calibri" w:hAnsi="Calibri"/>
          <w:sz w:val="22"/>
          <w:szCs w:val="22"/>
        </w:rPr>
        <w:t xml:space="preserve">Le calcul de ré-identification porte sur l'animal seul, sans contamination par le décor.</w:t>
      </w:r>
    </w:p>
    <w:p>
      <w:pPr>
        <w:pStyle w:val="ListParagraph"/>
        <w:numPr>
          <w:ilvl w:val="0"/>
          <w:numId w:val="2"/>
        </w:numPr>
        <w:spacing w:after="80" w:line="276"/>
      </w:pPr>
      <w:r>
        <w:rPr>
          <w:rFonts w:ascii="Calibri" w:cs="Calibri" w:eastAsia="Calibri" w:hAnsi="Calibri"/>
          <w:b/>
          <w:bCs/>
          <w:sz w:val="22"/>
          <w:szCs w:val="22"/>
        </w:rPr>
        <w:t xml:space="preserve">Lisibilité de l'interface. </w:t>
      </w:r>
      <w:r>
        <w:rPr>
          <w:rFonts w:ascii="Calibri" w:cs="Calibri" w:eastAsia="Calibri" w:hAnsi="Calibri"/>
          <w:sz w:val="22"/>
          <w:szCs w:val="22"/>
        </w:rPr>
        <w:t xml:space="preserve">Le contour précis est plus parlant qu'un rectangle lors d'une démonstration.</w:t>
      </w:r>
    </w:p>
    <w:p>
      <w:pPr>
        <w:pStyle w:val="ListParagraph"/>
        <w:numPr>
          <w:ilvl w:val="0"/>
          <w:numId w:val="2"/>
        </w:numPr>
        <w:spacing w:after="80" w:line="276"/>
      </w:pPr>
      <w:r>
        <w:rPr>
          <w:rFonts w:ascii="Calibri" w:cs="Calibri" w:eastAsia="Calibri" w:hAnsi="Calibri"/>
          <w:b/>
          <w:bCs/>
          <w:sz w:val="22"/>
          <w:szCs w:val="22"/>
        </w:rPr>
        <w:t xml:space="preserve">Bénéfice non anticipé : l'analyse de posture. </w:t>
      </w:r>
      <w:r>
        <w:rPr>
          <w:rFonts w:ascii="Calibri" w:cs="Calibri" w:eastAsia="Calibri" w:hAnsi="Calibri"/>
          <w:sz w:val="22"/>
          <w:szCs w:val="22"/>
        </w:rPr>
        <w:t xml:space="preserve">Le masque de segmentation est devenu, bien plus tard, la donnée d'entrée qui a permis de résoudre la détection du broutage (étape 8). Sans segmentation, cette analyse aurait été impossible.</w:t>
      </w:r>
    </w:p>
    <w:p>
      <w:pPr>
        <w:spacing w:after="0"/>
      </w:pPr>
      <w:r>
        <w:rPr>
          <w:sz w:val="18"/>
          <w:szCs w:val="18"/>
        </w:rPr>
        <w:t xml:space="preserve"/>
      </w:r>
    </w:p>
    <w:p>
      <w:pPr>
        <w:spacing w:after="120"/>
        <w:jc w:val="center"/>
      </w:pPr>
      <w:r>
        <w:drawing>
          <wp:inline xmlns:a="http://schemas.openxmlformats.org/drawingml/2006/main" xmlns:pic="http://schemas.openxmlformats.org/drawingml/2006/picture">
            <wp:extent cx="4023360" cy="4522746"/>
            <wp:docPr id="109" name="capture_masque.jpg"/>
            <wp:cNvGraphicFramePr>
              <a:graphicFrameLocks noChangeAspect="1"/>
            </wp:cNvGraphicFramePr>
            <a:graphic>
              <a:graphicData uri="http://schemas.openxmlformats.org/drawingml/2006/picture">
                <pic:pic>
                  <pic:nvPicPr>
                    <pic:cNvPr id="0" name="capture_masque.jpg"/>
                    <pic:cNvPicPr/>
                  </pic:nvPicPr>
                  <pic:blipFill>
                    <a:blip r:embed="rIdImg9"/>
                    <a:stretch>
                      <a:fillRect/>
                    </a:stretch>
                  </pic:blipFill>
                  <pic:spPr>
                    <a:xfrm>
                      <a:off x="0" y="0"/>
                      <a:ext cx="4023360" cy="4522746"/>
                    </a:xfrm>
                    <a:prstGeom prst="rect"/>
                  </pic:spPr>
                </pic:pic>
              </a:graphicData>
            </a:graphic>
          </wp:inline>
        </w:drawing>
      </w:r>
    </w:p>
    <w:p>
      <w:pPr>
        <w:spacing w:after="220" w:before="80" w:line="276"/>
        <w:jc w:val="center"/>
      </w:pPr>
      <w:r>
        <w:rPr>
          <w:rFonts w:ascii="Calibri" w:cs="Calibri" w:eastAsia="Calibri" w:hAnsi="Calibri"/>
          <w:i/>
          <w:iCs/>
          <w:color w:val="808080"/>
          <w:sz w:val="18"/>
          <w:szCs w:val="18"/>
        </w:rPr>
        <w:t xml:space="preserve">Figure 3 — Comparaison entre boîte englobante et masque de segmentation</w:t>
      </w:r>
    </w:p>
    <w:p>
      <w:r>
        <w:br w:type="page"/>
      </w:r>
    </w:p>
    <w:p>
      <w:pPr>
        <w:pStyle w:val="Heading1"/>
        <w:spacing w:after="180" w:before="360"/>
      </w:pPr>
      <w:r>
        <w:rPr>
          <w:rFonts w:ascii="Calibri" w:cs="Calibri" w:eastAsia="Calibri" w:hAnsi="Calibri"/>
          <w:b/>
          <w:bCs/>
          <w:color w:val="1F3864"/>
          <w:sz w:val="32"/>
          <w:szCs w:val="32"/>
        </w:rPr>
        <w:t xml:space="preserve">5. Étape 3 — Limite identifiée : les faux positifs inter-espèces</w:t>
      </w:r>
    </w:p>
    <w:p>
      <w:pPr>
        <w:pStyle w:val="Heading2"/>
        <w:spacing w:after="140" w:before="260"/>
      </w:pPr>
      <w:r>
        <w:rPr>
          <w:rFonts w:ascii="Calibri" w:cs="Calibri" w:eastAsia="Calibri" w:hAnsi="Calibri"/>
          <w:b/>
          <w:bCs/>
          <w:color w:val="2E74B5"/>
          <w:sz w:val="26"/>
          <w:szCs w:val="26"/>
        </w:rPr>
        <w:t xml:space="preserve">Le constat</w:t>
      </w:r>
    </w:p>
    <w:p>
      <w:pPr>
        <w:spacing w:after="120" w:before="0" w:line="276"/>
      </w:pPr>
      <w:r>
        <w:rPr>
          <w:rFonts w:ascii="Calibri" w:cs="Calibri" w:eastAsia="Calibri" w:hAnsi="Calibri"/>
          <w:sz w:val="22"/>
          <w:szCs w:val="22"/>
        </w:rPr>
        <w:t xml:space="preserve">Le système s'appuie sur la classe « cow » du jeu de données COCO, issue d'un modèle générique qui n'a jamais été spécialisé sur nos bovins. Ce modèle n'a pas appris « un bœuf » au sens de l'éleveur : il a appris une morphologie — un grand mammifère quadrupède, au corps massif et horizontal, vu en extérieur.</w:t>
      </w:r>
    </w:p>
    <w:p>
      <w:pPr>
        <w:spacing w:after="120" w:before="0" w:line="276"/>
      </w:pPr>
      <w:r>
        <w:rPr>
          <w:rFonts w:ascii="Calibri" w:cs="Calibri" w:eastAsia="Calibri" w:hAnsi="Calibri"/>
          <w:sz w:val="22"/>
          <w:szCs w:val="22"/>
        </w:rPr>
        <w:t xml:space="preserve">Toute espèce partageant cette silhouette est donc susceptible d'être classée comme bovin. C'est vérifiable en soumettant au système des vidéos d'autres animaux.</w:t>
      </w:r>
    </w:p>
    <w:p>
      <w:pPr>
        <w:pStyle w:val="Heading2"/>
        <w:spacing w:after="140" w:before="260"/>
      </w:pPr>
      <w:r>
        <w:rPr>
          <w:rFonts w:ascii="Calibri" w:cs="Calibri" w:eastAsia="Calibri" w:hAnsi="Calibri"/>
          <w:b/>
          <w:bCs/>
          <w:color w:val="2E74B5"/>
          <w:sz w:val="26"/>
          <w:szCs w:val="26"/>
        </w:rPr>
        <w:t xml:space="preserve">Deux cas de figure à distinguer</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480"/>
        <w:gridCol w:w="3480"/>
      </w:tblGrid>
      <w:tr>
        <w:trPr>
          <w:tblHeader/>
        </w:trPr>
        <w:tc>
          <w:tcPr>
            <w:tcW w:type="dxa" w:w="240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Cas</w:t>
            </w:r>
          </w:p>
        </w:tc>
        <w:tc>
          <w:tcPr>
            <w:tcW w:type="dxa" w:w="348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Comportement observé</w:t>
            </w:r>
          </w:p>
        </w:tc>
        <w:tc>
          <w:tcPr>
            <w:tcW w:type="dxa" w:w="348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Interprétation</w:t>
            </w:r>
          </w:p>
        </w:tc>
      </w:tr>
      <w:tr>
        <w:tc>
          <w:tcPr>
            <w:tcW w:type="dxa" w:w="2400"/>
            <w:tcMar>
              <w:top w:type="dxa" w:w="90"/>
              <w:left w:type="dxa" w:w="130"/>
              <w:bottom w:type="dxa" w:w="90"/>
              <w:right w:type="dxa" w:w="130"/>
            </w:tcMar>
          </w:tcPr>
          <w:p>
            <w:pPr>
              <w:spacing w:after="0" w:line="260"/>
            </w:pPr>
            <w:r>
              <w:rPr>
                <w:rFonts w:ascii="Calibri" w:cs="Calibri" w:eastAsia="Calibri" w:hAnsi="Calibri"/>
                <w:sz w:val="20"/>
                <w:szCs w:val="20"/>
              </w:rPr>
              <w:t xml:space="preserve">Ovins (moutons)</w:t>
            </w:r>
          </w:p>
        </w:tc>
        <w:tc>
          <w:tcPr>
            <w:tcW w:type="dxa" w:w="3480"/>
            <w:tcMar>
              <w:top w:type="dxa" w:w="90"/>
              <w:left w:type="dxa" w:w="130"/>
              <w:bottom w:type="dxa" w:w="90"/>
              <w:right w:type="dxa" w:w="130"/>
            </w:tcMar>
          </w:tcPr>
          <w:p>
            <w:pPr>
              <w:spacing w:after="0" w:line="260"/>
            </w:pPr>
            <w:r>
              <w:rPr>
                <w:rFonts w:ascii="Calibri" w:cs="Calibri" w:eastAsia="Calibri" w:hAnsi="Calibri"/>
                <w:sz w:val="20"/>
                <w:szCs w:val="20"/>
              </w:rPr>
              <w:t xml:space="preserve">Fréquemment détectés comme bovins</w:t>
            </w:r>
          </w:p>
        </w:tc>
        <w:tc>
          <w:tcPr>
            <w:tcW w:type="dxa" w:w="3480"/>
            <w:tcMar>
              <w:top w:type="dxa" w:w="90"/>
              <w:left w:type="dxa" w:w="130"/>
              <w:bottom w:type="dxa" w:w="90"/>
              <w:right w:type="dxa" w:w="130"/>
            </w:tcMar>
          </w:tcPr>
          <w:p>
            <w:pPr>
              <w:spacing w:after="0" w:line="260"/>
            </w:pPr>
            <w:r>
              <w:rPr>
                <w:rFonts w:ascii="Calibri" w:cs="Calibri" w:eastAsia="Calibri" w:hAnsi="Calibri"/>
                <w:sz w:val="20"/>
                <w:szCs w:val="20"/>
              </w:rPr>
              <w:t xml:space="preserve">Faux positif attendu : morphologie très proche (quadrupède, corps horizontal, pâturage). COCO possède une classe « sheep » distincte, mais la frontière visuelle reste ténue à distance.</w:t>
            </w:r>
          </w:p>
        </w:tc>
      </w:tr>
      <w:tr>
        <w:tc>
          <w:tcPr>
            <w:tcW w:type="dxa" w:w="24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Éléphants</w:t>
            </w:r>
          </w:p>
        </w:tc>
        <w:tc>
          <w:tcPr>
            <w:tcW w:type="dxa" w:w="348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Parfois détectés comme bovins</w:t>
            </w:r>
          </w:p>
        </w:tc>
        <w:tc>
          <w:tcPr>
            <w:tcW w:type="dxa" w:w="348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Faux positif révélateur : le modèle généralise sur la silhouette massive et quadrupède. Cela illustre concrètement ce que le réseau a réellement appris.</w:t>
            </w:r>
          </w:p>
        </w:tc>
      </w:tr>
    </w:tbl>
    <w:p>
      <w:pPr>
        <w:spacing w:after="0"/>
      </w:pPr>
      <w:r>
        <w:rPr>
          <w:sz w:val="18"/>
          <w:szCs w:val="18"/>
        </w:rPr>
        <w:t xml:space="preserve"/>
      </w:r>
    </w:p>
    <w:tbl>
      <w:tblPr>
        <w:tblW w:type="dxa" w:w="9360"/>
        <w:tblBorders>
          <w:top w:val="none"/>
          <w:left w:val="single" w:color="2E74B5" w:sz="18"/>
          <w:bottom w:val="none"/>
          <w:right w:val="none"/>
          <w:insideH w:val="none"/>
          <w:insideV w:val="none"/>
        </w:tblBorders>
      </w:tblPr>
      <w:tblGrid>
        <w:gridCol w:w="9360"/>
      </w:tblGrid>
      <w:tr>
        <w:tc>
          <w:tcPr>
            <w:tcW w:type="dxa" w:w="9360"/>
            <w:shd w:fill="FDF2E9" w:color="auto" w:val="clear"/>
            <w:tcMar>
              <w:top w:type="dxa" w:w="160"/>
              <w:left w:type="dxa" w:w="220"/>
              <w:bottom w:type="dxa" w:w="160"/>
              <w:right w:type="dxa" w:w="180"/>
            </w:tcMar>
          </w:tcPr>
          <w:p>
            <w:pPr>
              <w:spacing w:after="90" w:before="0" w:line="276"/>
            </w:pPr>
            <w:r>
              <w:rPr>
                <w:rFonts w:ascii="Calibri" w:cs="Calibri" w:eastAsia="Calibri" w:hAnsi="Calibri"/>
                <w:b/>
                <w:bCs/>
                <w:color w:val="1F3864"/>
                <w:sz w:val="21"/>
                <w:szCs w:val="21"/>
              </w:rPr>
              <w:t xml:space="preserve">Pourquoi cette limite a été assumée plutôt que corrigée</w:t>
            </w:r>
          </w:p>
          <w:p>
            <w:pPr>
              <w:spacing w:after="80" w:before="0" w:line="276"/>
            </w:pPr>
            <w:r>
              <w:rPr>
                <w:rFonts w:ascii="Calibri" w:cs="Calibri" w:eastAsia="Calibri" w:hAnsi="Calibri"/>
                <w:sz w:val="20"/>
                <w:szCs w:val="20"/>
              </w:rPr>
              <w:t xml:space="preserve">La corriger imposerait de spécialiser le modèle sur un jeu de données annoté de nos propres bovins : plusieurs centaines d'images étiquetées manuellement, puis un cycle d'entraînement.</w:t>
            </w:r>
          </w:p>
          <w:p>
            <w:pPr>
              <w:spacing w:after="80" w:before="0" w:line="276"/>
            </w:pPr>
            <w:r>
              <w:rPr>
                <w:rFonts w:ascii="Calibri" w:cs="Calibri" w:eastAsia="Calibri" w:hAnsi="Calibri"/>
                <w:sz w:val="20"/>
                <w:szCs w:val="20"/>
              </w:rPr>
              <w:t xml:space="preserve">Ce travail dépasse le périmètre de la phase actuelle. La limite est donc documentée et démontrée explicitement, ce qui est préférable à une performance affichée sans mention de son domaine de validité.</w:t>
            </w:r>
          </w:p>
          <w:p>
            <w:pPr>
              <w:spacing w:after="0" w:before="0" w:line="276"/>
            </w:pPr>
            <w:r>
              <w:rPr>
                <w:rFonts w:ascii="Calibri" w:cs="Calibri" w:eastAsia="Calibri" w:hAnsi="Calibri"/>
                <w:sz w:val="20"/>
                <w:szCs w:val="20"/>
              </w:rPr>
              <w:t xml:space="preserve">En conditions réelles d'exploitation — une caméra fixe sur une parcelle d'élevage bovin — aucun éléphant ne traverse le champ. Le risque pratique est donc faible, mais il devait être mesuré.</w:t>
            </w:r>
          </w:p>
        </w:tc>
      </w:tr>
    </w:tbl>
    <w:p>
      <w:pPr>
        <w:spacing w:after="0"/>
      </w:pPr>
      <w:r>
        <w:rPr>
          <w:sz w:val="18"/>
          <w:szCs w:val="18"/>
        </w:rPr>
        <w:t xml:space="preserve"/>
      </w:r>
    </w:p>
    <w:tbl>
      <w:tblPr>
        <w:tblW w:type="dxa" w:w="9360"/>
        <w:tblBorders>
          <w:top w:val="dashed" w:color="2E74B5" w:sz="8"/>
          <w:left w:val="dashed" w:color="2E74B5" w:sz="8"/>
          <w:bottom w:val="dashed" w:color="2E74B5" w:sz="8"/>
          <w:right w:val="dashed" w:color="2E74B5" w:sz="8"/>
          <w:insideH w:val="single" w:color="auto" w:sz="4"/>
          <w:insideV w:val="single" w:color="auto" w:sz="4"/>
        </w:tblBorders>
      </w:tblPr>
      <w:tblGrid>
        <w:gridCol w:w="9360"/>
      </w:tblGrid>
      <w:tr>
        <w:tc>
          <w:tcPr>
            <w:tcW w:type="dxa" w:w="9360"/>
            <w:shd w:fill="FAFCFF" w:color="auto" w:val="clear"/>
            <w:tcMar>
              <w:top w:type="dxa" w:w="240"/>
              <w:left w:type="dxa" w:w="200"/>
              <w:bottom w:type="dxa" w:w="240"/>
              <w:right w:type="dxa" w:w="200"/>
            </w:tcMar>
          </w:tcPr>
          <w:p>
            <w:pPr>
              <w:spacing w:after="0"/>
            </w:pPr>
            <w:r>
              <w:rPr>
                <w:sz w:val="18"/>
                <w:szCs w:val="18"/>
              </w:rPr>
              <w:t xml:space="preserve"/>
            </w:r>
          </w:p>
          <w:p>
            <w:pPr>
              <w:spacing w:after="0"/>
            </w:pPr>
            <w:r>
              <w:rPr>
                <w:sz w:val="18"/>
                <w:szCs w:val="18"/>
              </w:rPr>
              <w:t xml:space="preserve"/>
            </w:r>
          </w:p>
          <w:p>
            <w:pPr>
              <w:spacing w:after="100" w:before="0" w:line="276"/>
              <w:jc w:val="center"/>
            </w:pPr>
            <w:r>
              <w:rPr>
                <w:rFonts w:ascii="Calibri" w:cs="Calibri" w:eastAsia="Calibri" w:hAnsi="Calibri"/>
                <w:b/>
                <w:bCs/>
                <w:color w:val="2E74B5"/>
                <w:sz w:val="20"/>
                <w:szCs w:val="20"/>
              </w:rPr>
              <w:t xml:space="preserve">[ ESPACE RÉSERVÉ — INSÉRER LA CAPTURE D'ÉCRAN ICI ]</w:t>
            </w:r>
          </w:p>
          <w:p>
            <w:pPr>
              <w:spacing w:after="0" w:before="0" w:line="276"/>
              <w:jc w:val="center"/>
            </w:pPr>
            <w:r>
              <w:rPr>
                <w:rFonts w:ascii="Calibri" w:cs="Calibri" w:eastAsia="Calibri" w:hAnsi="Calibri"/>
                <w:i/>
                <w:iCs/>
                <w:color w:val="808080"/>
                <w:sz w:val="18"/>
                <w:szCs w:val="18"/>
              </w:rPr>
              <w:t xml:space="preserve">Suggestion : capture d'une vidéo d'éléphants où le système applique une étiquette bovine. Montrer l'indice de confiance.</w:t>
            </w:r>
          </w:p>
          <w:p>
            <w:pPr>
              <w:spacing w:after="0"/>
            </w:pPr>
            <w:r>
              <w:rPr>
                <w:sz w:val="18"/>
                <w:szCs w:val="18"/>
              </w:rPr>
              <w:t xml:space="preserve"/>
            </w:r>
          </w:p>
          <w:p>
            <w:pPr>
              <w:spacing w:after="0"/>
            </w:pPr>
            <w:r>
              <w:rPr>
                <w:sz w:val="18"/>
                <w:szCs w:val="18"/>
              </w:rPr>
              <w:t xml:space="preserve"/>
            </w:r>
          </w:p>
          <w:p>
            <w:pPr>
              <w:spacing w:after="0"/>
            </w:pPr>
            <w:r>
              <w:rPr>
                <w:sz w:val="18"/>
                <w:szCs w:val="18"/>
              </w:rPr>
              <w:t xml:space="preserve"/>
            </w:r>
          </w:p>
        </w:tc>
      </w:tr>
    </w:tbl>
    <w:p>
      <w:pPr>
        <w:spacing w:after="220" w:before="80" w:line="276"/>
        <w:jc w:val="center"/>
      </w:pPr>
      <w:r>
        <w:rPr>
          <w:rFonts w:ascii="Calibri" w:cs="Calibri" w:eastAsia="Calibri" w:hAnsi="Calibri"/>
          <w:i/>
          <w:iCs/>
          <w:color w:val="808080"/>
          <w:sz w:val="18"/>
          <w:szCs w:val="18"/>
        </w:rPr>
        <w:t xml:space="preserve">Figure 4 — Faux positif — éléphant détecté comme bovin</w:t>
      </w:r>
    </w:p>
    <w:tbl>
      <w:tblPr>
        <w:tblW w:type="dxa" w:w="9360"/>
        <w:tblBorders>
          <w:top w:val="dashed" w:color="2E74B5" w:sz="8"/>
          <w:left w:val="dashed" w:color="2E74B5" w:sz="8"/>
          <w:bottom w:val="dashed" w:color="2E74B5" w:sz="8"/>
          <w:right w:val="dashed" w:color="2E74B5" w:sz="8"/>
          <w:insideH w:val="single" w:color="auto" w:sz="4"/>
          <w:insideV w:val="single" w:color="auto" w:sz="4"/>
        </w:tblBorders>
      </w:tblPr>
      <w:tblGrid>
        <w:gridCol w:w="9360"/>
      </w:tblGrid>
      <w:tr>
        <w:tc>
          <w:tcPr>
            <w:tcW w:type="dxa" w:w="9360"/>
            <w:shd w:fill="FAFCFF" w:color="auto" w:val="clear"/>
            <w:tcMar>
              <w:top w:type="dxa" w:w="240"/>
              <w:left w:type="dxa" w:w="200"/>
              <w:bottom w:type="dxa" w:w="240"/>
              <w:right w:type="dxa" w:w="200"/>
            </w:tcMar>
          </w:tcPr>
          <w:p>
            <w:pPr>
              <w:spacing w:after="0"/>
            </w:pPr>
            <w:r>
              <w:rPr>
                <w:sz w:val="18"/>
                <w:szCs w:val="18"/>
              </w:rPr>
              <w:t xml:space="preserve"/>
            </w:r>
          </w:p>
          <w:p>
            <w:pPr>
              <w:spacing w:after="0"/>
            </w:pPr>
            <w:r>
              <w:rPr>
                <w:sz w:val="18"/>
                <w:szCs w:val="18"/>
              </w:rPr>
              <w:t xml:space="preserve"/>
            </w:r>
          </w:p>
          <w:p>
            <w:pPr>
              <w:spacing w:after="100" w:before="0" w:line="276"/>
              <w:jc w:val="center"/>
            </w:pPr>
            <w:r>
              <w:rPr>
                <w:rFonts w:ascii="Calibri" w:cs="Calibri" w:eastAsia="Calibri" w:hAnsi="Calibri"/>
                <w:b/>
                <w:bCs/>
                <w:color w:val="2E74B5"/>
                <w:sz w:val="20"/>
                <w:szCs w:val="20"/>
              </w:rPr>
              <w:t xml:space="preserve">[ ESPACE RÉSERVÉ — INSÉRER LA CAPTURE D'ÉCRAN ICI ]</w:t>
            </w:r>
          </w:p>
          <w:p>
            <w:pPr>
              <w:spacing w:after="0" w:before="0" w:line="276"/>
              <w:jc w:val="center"/>
            </w:pPr>
            <w:r>
              <w:rPr>
                <w:rFonts w:ascii="Calibri" w:cs="Calibri" w:eastAsia="Calibri" w:hAnsi="Calibri"/>
                <w:i/>
                <w:iCs/>
                <w:color w:val="808080"/>
                <w:sz w:val="18"/>
                <w:szCs w:val="18"/>
              </w:rPr>
              <w:t xml:space="preserve">Suggestion : capture d'une vidéo de moutons avec l'étiquette attribuée par le système.</w:t>
            </w:r>
          </w:p>
          <w:p>
            <w:pPr>
              <w:spacing w:after="0"/>
            </w:pPr>
            <w:r>
              <w:rPr>
                <w:sz w:val="18"/>
                <w:szCs w:val="18"/>
              </w:rPr>
              <w:t xml:space="preserve"/>
            </w:r>
          </w:p>
          <w:p>
            <w:pPr>
              <w:spacing w:after="0"/>
            </w:pPr>
            <w:r>
              <w:rPr>
                <w:sz w:val="18"/>
                <w:szCs w:val="18"/>
              </w:rPr>
              <w:t xml:space="preserve"/>
            </w:r>
          </w:p>
          <w:p>
            <w:pPr>
              <w:spacing w:after="0"/>
            </w:pPr>
            <w:r>
              <w:rPr>
                <w:sz w:val="18"/>
                <w:szCs w:val="18"/>
              </w:rPr>
              <w:t xml:space="preserve"/>
            </w:r>
          </w:p>
        </w:tc>
      </w:tr>
    </w:tbl>
    <w:p>
      <w:pPr>
        <w:spacing w:after="220" w:before="80" w:line="276"/>
        <w:jc w:val="center"/>
      </w:pPr>
      <w:r>
        <w:rPr>
          <w:rFonts w:ascii="Calibri" w:cs="Calibri" w:eastAsia="Calibri" w:hAnsi="Calibri"/>
          <w:i/>
          <w:iCs/>
          <w:color w:val="808080"/>
          <w:sz w:val="18"/>
          <w:szCs w:val="18"/>
        </w:rPr>
        <w:t xml:space="preserve">Figure 5 — Faux positif — mouton détecté comme bovin</w:t>
      </w:r>
    </w:p>
    <w:p>
      <w:pPr>
        <w:spacing w:after="120"/>
        <w:jc w:val="center"/>
      </w:pPr>
      <w:r>
        <w:drawing>
          <wp:inline xmlns:a="http://schemas.openxmlformats.org/drawingml/2006/main" xmlns:pic="http://schemas.openxmlformats.org/drawingml/2006/picture">
            <wp:extent cx="5669280" cy="3186480"/>
            <wp:docPr id="110" name="capture_nominal.jpg"/>
            <wp:cNvGraphicFramePr>
              <a:graphicFrameLocks noChangeAspect="1"/>
            </wp:cNvGraphicFramePr>
            <a:graphic>
              <a:graphicData uri="http://schemas.openxmlformats.org/drawingml/2006/picture">
                <pic:pic>
                  <pic:nvPicPr>
                    <pic:cNvPr id="0" name="capture_nominal.jpg"/>
                    <pic:cNvPicPr/>
                  </pic:nvPicPr>
                  <pic:blipFill>
                    <a:blip r:embed="rIdImg10"/>
                    <a:stretch>
                      <a:fillRect/>
                    </a:stretch>
                  </pic:blipFill>
                  <pic:spPr>
                    <a:xfrm>
                      <a:off x="0" y="0"/>
                      <a:ext cx="5669280" cy="3186480"/>
                    </a:xfrm>
                    <a:prstGeom prst="rect"/>
                  </pic:spPr>
                </pic:pic>
              </a:graphicData>
            </a:graphic>
          </wp:inline>
        </w:drawing>
      </w:r>
    </w:p>
    <w:p>
      <w:pPr>
        <w:spacing w:after="220" w:before="80" w:line="276"/>
        <w:jc w:val="center"/>
      </w:pPr>
      <w:r>
        <w:rPr>
          <w:rFonts w:ascii="Calibri" w:cs="Calibri" w:eastAsia="Calibri" w:hAnsi="Calibri"/>
          <w:i/>
          <w:iCs/>
          <w:color w:val="808080"/>
          <w:sz w:val="18"/>
          <w:szCs w:val="18"/>
        </w:rPr>
        <w:t xml:space="preserve">Figure 6 — Cas nominal — bovins correctement détectés</w:t>
      </w:r>
    </w:p>
    <w:p>
      <w:r>
        <w:br w:type="page"/>
      </w:r>
    </w:p>
    <w:p>
      <w:pPr>
        <w:pStyle w:val="Heading1"/>
        <w:spacing w:after="180" w:before="360"/>
      </w:pPr>
      <w:r>
        <w:rPr>
          <w:rFonts w:ascii="Calibri" w:cs="Calibri" w:eastAsia="Calibri" w:hAnsi="Calibri"/>
          <w:b/>
          <w:bCs/>
          <w:color w:val="1F3864"/>
          <w:sz w:val="32"/>
          <w:szCs w:val="32"/>
        </w:rPr>
        <w:t xml:space="preserve">6. Étape 4 — Migration matérielle : NVIDIA GTX 1660 Ti → Apple M1 Pro</w:t>
      </w:r>
    </w:p>
    <w:p>
      <w:pPr>
        <w:pStyle w:val="Heading2"/>
        <w:spacing w:after="140" w:before="260"/>
      </w:pPr>
      <w:r>
        <w:rPr>
          <w:rFonts w:ascii="Calibri" w:cs="Calibri" w:eastAsia="Calibri" w:hAnsi="Calibri"/>
          <w:b/>
          <w:bCs/>
          <w:color w:val="2E74B5"/>
          <w:sz w:val="26"/>
          <w:szCs w:val="26"/>
        </w:rPr>
        <w:t xml:space="preserve">Les motifs du changement</w:t>
      </w:r>
    </w:p>
    <w:p>
      <w:pPr>
        <w:pStyle w:val="ListParagraph"/>
        <w:numPr>
          <w:ilvl w:val="0"/>
          <w:numId w:val="2"/>
        </w:numPr>
        <w:spacing w:after="80" w:line="276"/>
      </w:pPr>
      <w:r>
        <w:rPr>
          <w:rFonts w:ascii="Calibri" w:cs="Calibri" w:eastAsia="Calibri" w:hAnsi="Calibri"/>
          <w:b/>
          <w:bCs/>
          <w:sz w:val="22"/>
          <w:szCs w:val="22"/>
        </w:rPr>
        <w:t xml:space="preserve">Plafond matériel atteint. </w:t>
      </w:r>
      <w:r>
        <w:rPr>
          <w:rFonts w:ascii="Calibri" w:cs="Calibri" w:eastAsia="Calibri" w:hAnsi="Calibri"/>
          <w:sz w:val="22"/>
          <w:szCs w:val="22"/>
        </w:rPr>
        <w:t xml:space="preserve">L'architecture Turing sans cœurs Tensor limitait le gain de la demi-précision à environ 1,5×. Les optimisations logicielles restantes offraient un rendement décroissant.</w:t>
      </w:r>
    </w:p>
    <w:p>
      <w:pPr>
        <w:pStyle w:val="ListParagraph"/>
        <w:numPr>
          <w:ilvl w:val="0"/>
          <w:numId w:val="2"/>
        </w:numPr>
        <w:spacing w:after="80" w:line="276"/>
      </w:pPr>
      <w:r>
        <w:rPr>
          <w:rFonts w:ascii="Calibri" w:cs="Calibri" w:eastAsia="Calibri" w:hAnsi="Calibri"/>
          <w:b/>
          <w:bCs/>
          <w:sz w:val="22"/>
          <w:szCs w:val="22"/>
        </w:rPr>
        <w:t xml:space="preserve">Mémoire unifiée. </w:t>
      </w:r>
      <w:r>
        <w:rPr>
          <w:rFonts w:ascii="Calibri" w:cs="Calibri" w:eastAsia="Calibri" w:hAnsi="Calibri"/>
          <w:sz w:val="22"/>
          <w:szCs w:val="22"/>
        </w:rPr>
        <w:t xml:space="preserve">Sur Apple Silicon, processeur et partie graphique partagent la même mémoire physique. Les transferts entre mémoire centrale et mémoire vidéo — un coût récurrent à chaque image sur architecture NVIDIA — disparaissent.</w:t>
      </w:r>
    </w:p>
    <w:p>
      <w:pPr>
        <w:pStyle w:val="ListParagraph"/>
        <w:numPr>
          <w:ilvl w:val="0"/>
          <w:numId w:val="2"/>
        </w:numPr>
        <w:spacing w:after="80" w:line="276"/>
      </w:pPr>
      <w:r>
        <w:rPr>
          <w:rFonts w:ascii="Calibri" w:cs="Calibri" w:eastAsia="Calibri" w:hAnsi="Calibri"/>
          <w:b/>
          <w:bCs/>
          <w:sz w:val="22"/>
          <w:szCs w:val="22"/>
        </w:rPr>
        <w:t xml:space="preserve">Mobilité. </w:t>
      </w:r>
      <w:r>
        <w:rPr>
          <w:rFonts w:ascii="Calibri" w:cs="Calibri" w:eastAsia="Calibri" w:hAnsi="Calibri"/>
          <w:sz w:val="22"/>
          <w:szCs w:val="22"/>
        </w:rPr>
        <w:t xml:space="preserve">Un ordinateur portable autorise la démonstration et le développement hors du poste fixe, ce qui compte pour un projet destiné à être présenté.</w:t>
      </w:r>
    </w:p>
    <w:p>
      <w:pPr>
        <w:pStyle w:val="Heading2"/>
        <w:spacing w:after="140" w:before="260"/>
      </w:pPr>
      <w:r>
        <w:rPr>
          <w:rFonts w:ascii="Calibri" w:cs="Calibri" w:eastAsia="Calibri" w:hAnsi="Calibri"/>
          <w:b/>
          <w:bCs/>
          <w:color w:val="2E74B5"/>
          <w:sz w:val="26"/>
          <w:szCs w:val="26"/>
        </w:rPr>
        <w:t xml:space="preserve">Trois voies d'exécution explorées</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2100"/>
        <w:gridCol w:w="3300"/>
        <w:gridCol w:w="3960"/>
      </w:tblGrid>
      <w:tr>
        <w:trPr>
          <w:tblHeader/>
        </w:trPr>
        <w:tc>
          <w:tcPr>
            <w:tcW w:type="dxa" w:w="210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Voie</w:t>
            </w:r>
          </w:p>
        </w:tc>
        <w:tc>
          <w:tcPr>
            <w:tcW w:type="dxa" w:w="330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Nature</w:t>
            </w:r>
          </w:p>
        </w:tc>
        <w:tc>
          <w:tcPr>
            <w:tcW w:type="dxa" w:w="396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Verdict</w:t>
            </w:r>
          </w:p>
        </w:tc>
      </w:tr>
      <w:tr>
        <w:tc>
          <w:tcPr>
            <w:tcW w:type="dxa" w:w="2100"/>
            <w:tcMar>
              <w:top w:type="dxa" w:w="90"/>
              <w:left w:type="dxa" w:w="130"/>
              <w:bottom w:type="dxa" w:w="90"/>
              <w:right w:type="dxa" w:w="130"/>
            </w:tcMar>
          </w:tcPr>
          <w:p>
            <w:pPr>
              <w:spacing w:after="0" w:line="260"/>
            </w:pPr>
            <w:r>
              <w:rPr>
                <w:rFonts w:ascii="Calibri" w:cs="Calibri" w:eastAsia="Calibri" w:hAnsi="Calibri"/>
                <w:sz w:val="20"/>
                <w:szCs w:val="20"/>
              </w:rPr>
              <w:t xml:space="preserve">CUDA</w:t>
            </w:r>
          </w:p>
        </w:tc>
        <w:tc>
          <w:tcPr>
            <w:tcW w:type="dxa" w:w="3300"/>
            <w:tcMar>
              <w:top w:type="dxa" w:w="90"/>
              <w:left w:type="dxa" w:w="130"/>
              <w:bottom w:type="dxa" w:w="90"/>
              <w:right w:type="dxa" w:w="130"/>
            </w:tcMar>
          </w:tcPr>
          <w:p>
            <w:pPr>
              <w:spacing w:after="0" w:line="260"/>
            </w:pPr>
            <w:r>
              <w:rPr>
                <w:rFonts w:ascii="Calibri" w:cs="Calibri" w:eastAsia="Calibri" w:hAnsi="Calibri"/>
                <w:sz w:val="20"/>
                <w:szCs w:val="20"/>
              </w:rPr>
              <w:t xml:space="preserve">Exécution native NVIDIA</w:t>
            </w:r>
          </w:p>
        </w:tc>
        <w:tc>
          <w:tcPr>
            <w:tcW w:type="dxa" w:w="3960"/>
            <w:tcMar>
              <w:top w:type="dxa" w:w="90"/>
              <w:left w:type="dxa" w:w="130"/>
              <w:bottom w:type="dxa" w:w="90"/>
              <w:right w:type="dxa" w:w="130"/>
            </w:tcMar>
          </w:tcPr>
          <w:p>
            <w:pPr>
              <w:spacing w:after="0" w:line="260"/>
            </w:pPr>
            <w:r>
              <w:rPr>
                <w:rFonts w:ascii="Calibri" w:cs="Calibri" w:eastAsia="Calibri" w:hAnsi="Calibri"/>
                <w:sz w:val="20"/>
                <w:szCs w:val="20"/>
              </w:rPr>
              <w:t xml:space="preserve">Abandonnée avec le changement de matériel.</w:t>
            </w:r>
          </w:p>
        </w:tc>
      </w:tr>
      <w:tr>
        <w:tc>
          <w:tcPr>
            <w:tcW w:type="dxa" w:w="21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MPS</w:t>
            </w:r>
          </w:p>
        </w:tc>
        <w:tc>
          <w:tcPr>
            <w:tcW w:type="dxa" w:w="33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Couche de compatibilité PyTorch au-dessus de Metal</w:t>
            </w:r>
          </w:p>
        </w:tc>
        <w:tc>
          <w:tcPr>
            <w:tcW w:type="dxa" w:w="396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Fonctionnelle et retenue pour les modèles PyTorch (empreintes, classification de race). Reste une couche de traduction, donc non optimale.</w:t>
            </w:r>
          </w:p>
        </w:tc>
      </w:tr>
      <w:tr>
        <w:tc>
          <w:tcPr>
            <w:tcW w:type="dxa" w:w="2100"/>
            <w:tcMar>
              <w:top w:type="dxa" w:w="90"/>
              <w:left w:type="dxa" w:w="130"/>
              <w:bottom w:type="dxa" w:w="90"/>
              <w:right w:type="dxa" w:w="130"/>
            </w:tcMar>
          </w:tcPr>
          <w:p>
            <w:pPr>
              <w:spacing w:after="0" w:line="260"/>
            </w:pPr>
            <w:r>
              <w:rPr>
                <w:rFonts w:ascii="Calibri" w:cs="Calibri" w:eastAsia="Calibri" w:hAnsi="Calibri"/>
                <w:sz w:val="20"/>
                <w:szCs w:val="20"/>
              </w:rPr>
              <w:t xml:space="preserve">MLX</w:t>
            </w:r>
          </w:p>
        </w:tc>
        <w:tc>
          <w:tcPr>
            <w:tcW w:type="dxa" w:w="3300"/>
            <w:tcMar>
              <w:top w:type="dxa" w:w="90"/>
              <w:left w:type="dxa" w:w="130"/>
              <w:bottom w:type="dxa" w:w="90"/>
              <w:right w:type="dxa" w:w="130"/>
            </w:tcMar>
          </w:tcPr>
          <w:p>
            <w:pPr>
              <w:spacing w:after="0" w:line="260"/>
            </w:pPr>
            <w:r>
              <w:rPr>
                <w:rFonts w:ascii="Calibri" w:cs="Calibri" w:eastAsia="Calibri" w:hAnsi="Calibri"/>
                <w:sz w:val="20"/>
                <w:szCs w:val="20"/>
              </w:rPr>
              <w:t xml:space="preserve">Cadriciel Apple s'exécutant directement sur Metal</w:t>
            </w:r>
          </w:p>
        </w:tc>
        <w:tc>
          <w:tcPr>
            <w:tcW w:type="dxa" w:w="3960"/>
            <w:tcMar>
              <w:top w:type="dxa" w:w="90"/>
              <w:left w:type="dxa" w:w="130"/>
              <w:bottom w:type="dxa" w:w="90"/>
              <w:right w:type="dxa" w:w="130"/>
            </w:tcMar>
          </w:tcPr>
          <w:p>
            <w:pPr>
              <w:spacing w:after="0" w:line="260"/>
            </w:pPr>
            <w:r>
              <w:rPr>
                <w:rFonts w:ascii="Calibri" w:cs="Calibri" w:eastAsia="Calibri" w:hAnsi="Calibri"/>
                <w:sz w:val="20"/>
                <w:szCs w:val="20"/>
              </w:rPr>
              <w:t xml:space="preserve">Retenue pour la détection YOLO. Voie la plus rapide (voir étape 5).</w:t>
            </w:r>
          </w:p>
        </w:tc>
      </w:tr>
    </w:tbl>
    <w:p>
      <w:pPr>
        <w:spacing w:after="0"/>
      </w:pPr>
      <w:r>
        <w:rPr>
          <w:sz w:val="18"/>
          <w:szCs w:val="18"/>
        </w:rPr>
        <w:t xml:space="preserve"/>
      </w:r>
    </w:p>
    <w:tbl>
      <w:tblPr>
        <w:tblW w:type="dxa" w:w="9360"/>
        <w:tblBorders>
          <w:top w:val="none"/>
          <w:left w:val="single" w:color="2E74B5" w:sz="18"/>
          <w:bottom w:val="none"/>
          <w:right w:val="none"/>
          <w:insideH w:val="none"/>
          <w:insideV w:val="none"/>
        </w:tblBorders>
      </w:tblPr>
      <w:tblGrid>
        <w:gridCol w:w="9360"/>
      </w:tblGrid>
      <w:tr>
        <w:tc>
          <w:tcPr>
            <w:tcW w:type="dxa" w:w="9360"/>
            <w:shd w:fill="F2F6FB" w:color="auto" w:val="clear"/>
            <w:tcMar>
              <w:top w:type="dxa" w:w="160"/>
              <w:left w:type="dxa" w:w="220"/>
              <w:bottom w:type="dxa" w:w="160"/>
              <w:right w:type="dxa" w:w="180"/>
            </w:tcMar>
          </w:tcPr>
          <w:p>
            <w:pPr>
              <w:spacing w:after="90" w:before="0" w:line="276"/>
            </w:pPr>
            <w:r>
              <w:rPr>
                <w:rFonts w:ascii="Calibri" w:cs="Calibri" w:eastAsia="Calibri" w:hAnsi="Calibri"/>
                <w:b/>
                <w:bCs/>
                <w:color w:val="1F3864"/>
                <w:sz w:val="21"/>
                <w:szCs w:val="21"/>
              </w:rPr>
              <w:t xml:space="preserve">Précision technique importante pour la soutenance</w:t>
            </w:r>
          </w:p>
          <w:p>
            <w:pPr>
              <w:spacing w:after="80" w:before="0" w:line="276"/>
            </w:pPr>
            <w:r>
              <w:rPr>
                <w:rFonts w:ascii="Calibri" w:cs="Calibri" w:eastAsia="Calibri" w:hAnsi="Calibri"/>
                <w:sz w:val="20"/>
                <w:szCs w:val="20"/>
              </w:rPr>
              <w:t xml:space="preserve">Le Neural Engine — l'accélérateur dédié à l'inférence des puces Apple — n'est pas accessible depuis MLX. Il n'est atteignable que via CoreML.</w:t>
            </w:r>
          </w:p>
          <w:p>
            <w:pPr>
              <w:spacing w:after="80" w:before="0" w:line="276"/>
            </w:pPr>
            <w:r>
              <w:rPr>
                <w:rFonts w:ascii="Calibri" w:cs="Calibri" w:eastAsia="Calibri" w:hAnsi="Calibri"/>
                <w:sz w:val="20"/>
                <w:szCs w:val="20"/>
              </w:rPr>
              <w:t xml:space="preserve">Une voie CoreML a effectivement été instrumentée et mesurée dans le module de diagnostic du projet, mais MLX a été conservé : la conversion CoreML impose une taille d'entrée figée et complique la chaîne de traitement, pour un gain qui ne le justifiait pas.</w:t>
            </w:r>
          </w:p>
          <w:p>
            <w:pPr>
              <w:spacing w:after="0" w:before="0" w:line="276"/>
            </w:pPr>
            <w:r>
              <w:rPr>
                <w:rFonts w:ascii="Calibri" w:cs="Calibri" w:eastAsia="Calibri" w:hAnsi="Calibri"/>
                <w:sz w:val="20"/>
                <w:szCs w:val="20"/>
              </w:rPr>
              <w:t xml:space="preserve">Le gain de performance obtenu provient donc du GPU Metal et de la mémoire unifiée, et non du Neural Engine. Cette distinction mérite d'être énoncée : elle est vérifiable et sera probablement questionnée.</w:t>
            </w:r>
          </w:p>
        </w:tc>
      </w:tr>
    </w:tbl>
    <w:p>
      <w:pPr>
        <w:pStyle w:val="Heading2"/>
        <w:spacing w:after="140" w:before="260"/>
      </w:pPr>
      <w:r>
        <w:rPr>
          <w:rFonts w:ascii="Calibri" w:cs="Calibri" w:eastAsia="Calibri" w:hAnsi="Calibri"/>
          <w:b/>
          <w:bCs/>
          <w:color w:val="2E74B5"/>
          <w:sz w:val="26"/>
          <w:szCs w:val="26"/>
        </w:rPr>
        <w:t xml:space="preserve">Gain mesuré sur le calcul d'empreinte (demi-précision sur MPS)</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4200"/>
        <w:gridCol w:w="2580"/>
        <w:gridCol w:w="2580"/>
      </w:tblGrid>
      <w:tr>
        <w:trPr>
          <w:tblHeader/>
        </w:trPr>
        <w:tc>
          <w:tcPr>
            <w:tcW w:type="dxa" w:w="420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Mode de calcul</w:t>
            </w:r>
          </w:p>
        </w:tc>
        <w:tc>
          <w:tcPr>
            <w:tcW w:type="dxa" w:w="258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Avant (FP32)</w:t>
            </w:r>
          </w:p>
        </w:tc>
        <w:tc>
          <w:tcPr>
            <w:tcW w:type="dxa" w:w="258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Après (FP16)</w:t>
            </w:r>
          </w:p>
        </w:tc>
      </w:tr>
      <w:tr>
        <w:tc>
          <w:tcPr>
            <w:tcW w:type="dxa" w:w="4200"/>
            <w:tcMar>
              <w:top w:type="dxa" w:w="90"/>
              <w:left w:type="dxa" w:w="130"/>
              <w:bottom w:type="dxa" w:w="90"/>
              <w:right w:type="dxa" w:w="130"/>
            </w:tcMar>
          </w:tcPr>
          <w:p>
            <w:pPr>
              <w:spacing w:after="0" w:line="260"/>
            </w:pPr>
            <w:r>
              <w:rPr>
                <w:rFonts w:ascii="Calibri" w:cs="Calibri" w:eastAsia="Calibri" w:hAnsi="Calibri"/>
                <w:sz w:val="20"/>
                <w:szCs w:val="20"/>
              </w:rPr>
              <w:t xml:space="preserve">Imagette unique</w:t>
            </w:r>
          </w:p>
        </w:tc>
        <w:tc>
          <w:tcPr>
            <w:tcW w:type="dxa" w:w="2580"/>
            <w:tcMar>
              <w:top w:type="dxa" w:w="90"/>
              <w:left w:type="dxa" w:w="130"/>
              <w:bottom w:type="dxa" w:w="90"/>
              <w:right w:type="dxa" w:w="130"/>
            </w:tcMar>
          </w:tcPr>
          <w:p>
            <w:pPr>
              <w:spacing w:after="0" w:line="260"/>
            </w:pPr>
            <w:r>
              <w:rPr>
                <w:rFonts w:ascii="Calibri" w:cs="Calibri" w:eastAsia="Calibri" w:hAnsi="Calibri"/>
                <w:sz w:val="20"/>
                <w:szCs w:val="20"/>
              </w:rPr>
              <w:t xml:space="preserve">49 images/s</w:t>
            </w:r>
          </w:p>
        </w:tc>
        <w:tc>
          <w:tcPr>
            <w:tcW w:type="dxa" w:w="2580"/>
            <w:tcMar>
              <w:top w:type="dxa" w:w="90"/>
              <w:left w:type="dxa" w:w="130"/>
              <w:bottom w:type="dxa" w:w="90"/>
              <w:right w:type="dxa" w:w="130"/>
            </w:tcMar>
          </w:tcPr>
          <w:p>
            <w:pPr>
              <w:spacing w:after="0" w:line="260"/>
            </w:pPr>
            <w:r>
              <w:rPr>
                <w:rFonts w:ascii="Calibri" w:cs="Calibri" w:eastAsia="Calibri" w:hAnsi="Calibri"/>
                <w:sz w:val="20"/>
                <w:szCs w:val="20"/>
              </w:rPr>
              <w:t xml:space="preserve">60 images/s</w:t>
            </w:r>
          </w:p>
        </w:tc>
      </w:tr>
      <w:tr>
        <w:tc>
          <w:tcPr>
            <w:tcW w:type="dxa" w:w="42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Traitement par lots de 8</w:t>
            </w:r>
          </w:p>
        </w:tc>
        <w:tc>
          <w:tcPr>
            <w:tcW w:type="dxa" w:w="258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125 imagettes/s</w:t>
            </w:r>
          </w:p>
        </w:tc>
        <w:tc>
          <w:tcPr>
            <w:tcW w:type="dxa" w:w="258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137 imagettes/s</w:t>
            </w:r>
          </w:p>
        </w:tc>
      </w:tr>
    </w:tbl>
    <w:p>
      <w:pPr>
        <w:spacing w:after="0"/>
      </w:pPr>
      <w:r>
        <w:rPr>
          <w:sz w:val="18"/>
          <w:szCs w:val="18"/>
        </w:rPr>
        <w:t xml:space="preserve"/>
      </w:r>
    </w:p>
    <w:tbl>
      <w:tblPr>
        <w:tblW w:type="dxa" w:w="9360"/>
        <w:tblBorders>
          <w:top w:val="dashed" w:color="2E74B5" w:sz="8"/>
          <w:left w:val="dashed" w:color="2E74B5" w:sz="8"/>
          <w:bottom w:val="dashed" w:color="2E74B5" w:sz="8"/>
          <w:right w:val="dashed" w:color="2E74B5" w:sz="8"/>
          <w:insideH w:val="single" w:color="auto" w:sz="4"/>
          <w:insideV w:val="single" w:color="auto" w:sz="4"/>
        </w:tblBorders>
      </w:tblPr>
      <w:tblGrid>
        <w:gridCol w:w="9360"/>
      </w:tblGrid>
      <w:tr>
        <w:tc>
          <w:tcPr>
            <w:tcW w:type="dxa" w:w="9360"/>
            <w:shd w:fill="FAFCFF" w:color="auto" w:val="clear"/>
            <w:tcMar>
              <w:top w:type="dxa" w:w="240"/>
              <w:left w:type="dxa" w:w="200"/>
              <w:bottom w:type="dxa" w:w="240"/>
              <w:right w:type="dxa" w:w="200"/>
            </w:tcMar>
          </w:tcPr>
          <w:p>
            <w:pPr>
              <w:spacing w:after="0"/>
            </w:pPr>
            <w:r>
              <w:rPr>
                <w:sz w:val="18"/>
                <w:szCs w:val="18"/>
              </w:rPr>
              <w:t xml:space="preserve"/>
            </w:r>
          </w:p>
          <w:p>
            <w:pPr>
              <w:spacing w:after="0"/>
            </w:pPr>
            <w:r>
              <w:rPr>
                <w:sz w:val="18"/>
                <w:szCs w:val="18"/>
              </w:rPr>
              <w:t xml:space="preserve"/>
            </w:r>
          </w:p>
          <w:p>
            <w:pPr>
              <w:spacing w:after="100" w:before="0" w:line="276"/>
              <w:jc w:val="center"/>
            </w:pPr>
            <w:r>
              <w:rPr>
                <w:rFonts w:ascii="Calibri" w:cs="Calibri" w:eastAsia="Calibri" w:hAnsi="Calibri"/>
                <w:b/>
                <w:bCs/>
                <w:color w:val="2E74B5"/>
                <w:sz w:val="20"/>
                <w:szCs w:val="20"/>
              </w:rPr>
              <w:t xml:space="preserve">[ ESPACE RÉSERVÉ — INSÉRER LA CAPTURE D'ÉCRAN ICI ]</w:t>
            </w:r>
          </w:p>
          <w:p>
            <w:pPr>
              <w:spacing w:after="0" w:before="0" w:line="276"/>
              <w:jc w:val="center"/>
            </w:pPr>
            <w:r>
              <w:rPr>
                <w:rFonts w:ascii="Calibri" w:cs="Calibri" w:eastAsia="Calibri" w:hAnsi="Calibri"/>
                <w:i/>
                <w:iCs/>
                <w:color w:val="808080"/>
                <w:sz w:val="18"/>
                <w:szCs w:val="18"/>
              </w:rPr>
              <w:t xml:space="preserve">Suggestion : capture de la page de diagnostic affichant le périphérique de calcul actif et les débits mesurés.</w:t>
            </w:r>
          </w:p>
          <w:p>
            <w:pPr>
              <w:spacing w:after="0"/>
            </w:pPr>
            <w:r>
              <w:rPr>
                <w:sz w:val="18"/>
                <w:szCs w:val="18"/>
              </w:rPr>
              <w:t xml:space="preserve"/>
            </w:r>
          </w:p>
          <w:p>
            <w:pPr>
              <w:spacing w:after="0"/>
            </w:pPr>
            <w:r>
              <w:rPr>
                <w:sz w:val="18"/>
                <w:szCs w:val="18"/>
              </w:rPr>
              <w:t xml:space="preserve"/>
            </w:r>
          </w:p>
          <w:p>
            <w:pPr>
              <w:spacing w:after="0"/>
            </w:pPr>
            <w:r>
              <w:rPr>
                <w:sz w:val="18"/>
                <w:szCs w:val="18"/>
              </w:rPr>
              <w:t xml:space="preserve"/>
            </w:r>
          </w:p>
        </w:tc>
      </w:tr>
    </w:tbl>
    <w:p>
      <w:pPr>
        <w:spacing w:after="220" w:before="80" w:line="276"/>
        <w:jc w:val="center"/>
      </w:pPr>
      <w:r>
        <w:rPr>
          <w:rFonts w:ascii="Calibri" w:cs="Calibri" w:eastAsia="Calibri" w:hAnsi="Calibri"/>
          <w:i/>
          <w:iCs/>
          <w:color w:val="808080"/>
          <w:sz w:val="18"/>
          <w:szCs w:val="18"/>
        </w:rPr>
        <w:t xml:space="preserve">Figure 7 — Diagnostic matériel du système</w:t>
      </w:r>
    </w:p>
    <w:p>
      <w:r>
        <w:br w:type="page"/>
      </w:r>
    </w:p>
    <w:p>
      <w:pPr>
        <w:pStyle w:val="Heading1"/>
        <w:spacing w:after="180" w:before="360"/>
      </w:pPr>
      <w:r>
        <w:rPr>
          <w:rFonts w:ascii="Calibri" w:cs="Calibri" w:eastAsia="Calibri" w:hAnsi="Calibri"/>
          <w:b/>
          <w:bCs/>
          <w:color w:val="1F3864"/>
          <w:sz w:val="32"/>
          <w:szCs w:val="32"/>
        </w:rPr>
        <w:t xml:space="preserve">7. Étape 5 — YOLOv11 (PyTorch/MPS) → YOLOv26 (MLX / Metal natif)</w:t>
      </w:r>
    </w:p>
    <w:p>
      <w:pPr>
        <w:pStyle w:val="Heading2"/>
        <w:spacing w:after="140" w:before="260"/>
      </w:pPr>
      <w:r>
        <w:rPr>
          <w:rFonts w:ascii="Calibri" w:cs="Calibri" w:eastAsia="Calibri" w:hAnsi="Calibri"/>
          <w:b/>
          <w:bCs/>
          <w:color w:val="2E74B5"/>
          <w:sz w:val="26"/>
          <w:szCs w:val="26"/>
        </w:rPr>
        <w:t xml:space="preserve">Le raisonnement</w:t>
      </w:r>
    </w:p>
    <w:p>
      <w:pPr>
        <w:spacing w:after="120" w:before="0" w:line="276"/>
      </w:pPr>
      <w:r>
        <w:rPr>
          <w:rFonts w:ascii="Calibri" w:cs="Calibri" w:eastAsia="Calibri" w:hAnsi="Calibri"/>
          <w:sz w:val="22"/>
          <w:szCs w:val="22"/>
        </w:rPr>
        <w:t xml:space="preserve">MPS traduit les opérations PyTorch vers Metal. Cette traduction a un coût, et certaines opérations n'ont pas d'équivalent optimisé. MLX, conçu par Apple pour ses propres puces, s'exécute directement sur Metal et exploite la mémoire unifiée sans copie.</w:t>
      </w:r>
    </w:p>
    <w:p>
      <w:pPr>
        <w:spacing w:after="120" w:before="0" w:line="276"/>
      </w:pPr>
      <w:r>
        <w:rPr>
          <w:rFonts w:ascii="Calibri" w:cs="Calibri" w:eastAsia="Calibri" w:hAnsi="Calibri"/>
          <w:b/>
          <w:bCs/>
          <w:sz w:val="22"/>
          <w:szCs w:val="22"/>
        </w:rPr>
        <w:t xml:space="preserve">Gain mesuré : environ 2,6× </w:t>
      </w:r>
      <w:r>
        <w:rPr>
          <w:rFonts w:ascii="Calibri" w:cs="Calibri" w:eastAsia="Calibri" w:hAnsi="Calibri"/>
          <w:sz w:val="22"/>
          <w:szCs w:val="22"/>
        </w:rPr>
        <w:t xml:space="preserve">par rapport à YOLOv11-s exécuté sur PyTorch/MPS, soit un régime d'environ 26 images par seconde en segmentation.</w:t>
      </w:r>
    </w:p>
    <w:p>
      <w:pPr>
        <w:pStyle w:val="Heading2"/>
        <w:spacing w:after="140" w:before="260"/>
      </w:pPr>
      <w:r>
        <w:rPr>
          <w:rFonts w:ascii="Calibri" w:cs="Calibri" w:eastAsia="Calibri" w:hAnsi="Calibri"/>
          <w:b/>
          <w:bCs/>
          <w:color w:val="2E74B5"/>
          <w:sz w:val="26"/>
          <w:szCs w:val="26"/>
        </w:rPr>
        <w:t xml:space="preserve">Pourquoi le format safetensors</w:t>
      </w:r>
    </w:p>
    <w:p>
      <w:pPr>
        <w:pStyle w:val="ListParagraph"/>
        <w:numPr>
          <w:ilvl w:val="0"/>
          <w:numId w:val="2"/>
        </w:numPr>
        <w:spacing w:after="80" w:line="276"/>
      </w:pPr>
      <w:r>
        <w:rPr>
          <w:rFonts w:ascii="Calibri" w:cs="Calibri" w:eastAsia="Calibri" w:hAnsi="Calibri"/>
          <w:b/>
          <w:bCs/>
          <w:sz w:val="22"/>
          <w:szCs w:val="22"/>
        </w:rPr>
        <w:t xml:space="preserve">Sécurité. </w:t>
      </w:r>
      <w:r>
        <w:rPr>
          <w:rFonts w:ascii="Calibri" w:cs="Calibri" w:eastAsia="Calibri" w:hAnsi="Calibri"/>
          <w:sz w:val="22"/>
          <w:szCs w:val="22"/>
        </w:rPr>
        <w:t xml:space="preserve">Le format .pt de PyTorch repose sur la sérialisation pickle, qui peut exécuter du code arbitraire au chargement. Le format safetensors ne contient que des données.</w:t>
      </w:r>
    </w:p>
    <w:p>
      <w:pPr>
        <w:pStyle w:val="ListParagraph"/>
        <w:numPr>
          <w:ilvl w:val="0"/>
          <w:numId w:val="2"/>
        </w:numPr>
        <w:spacing w:after="80" w:line="276"/>
      </w:pPr>
      <w:r>
        <w:rPr>
          <w:rFonts w:ascii="Calibri" w:cs="Calibri" w:eastAsia="Calibri" w:hAnsi="Calibri"/>
          <w:b/>
          <w:bCs/>
          <w:sz w:val="22"/>
          <w:szCs w:val="22"/>
        </w:rPr>
        <w:t xml:space="preserve">Vitesse de chargement. </w:t>
      </w:r>
      <w:r>
        <w:rPr>
          <w:rFonts w:ascii="Calibri" w:cs="Calibri" w:eastAsia="Calibri" w:hAnsi="Calibri"/>
          <w:sz w:val="22"/>
          <w:szCs w:val="22"/>
        </w:rPr>
        <w:t xml:space="preserve">Le fichier est projeté en mémoire directement, sans désérialisation coûteuse.</w:t>
      </w:r>
    </w:p>
    <w:p>
      <w:pPr>
        <w:pStyle w:val="ListParagraph"/>
        <w:numPr>
          <w:ilvl w:val="0"/>
          <w:numId w:val="2"/>
        </w:numPr>
        <w:spacing w:after="80" w:line="276"/>
      </w:pPr>
      <w:r>
        <w:rPr>
          <w:rFonts w:ascii="Calibri" w:cs="Calibri" w:eastAsia="Calibri" w:hAnsi="Calibri"/>
          <w:b/>
          <w:bCs/>
          <w:sz w:val="22"/>
          <w:szCs w:val="22"/>
        </w:rPr>
        <w:t xml:space="preserve">Interopérabilité. </w:t>
      </w:r>
      <w:r>
        <w:rPr>
          <w:rFonts w:ascii="Calibri" w:cs="Calibri" w:eastAsia="Calibri" w:hAnsi="Calibri"/>
          <w:sz w:val="22"/>
          <w:szCs w:val="22"/>
        </w:rPr>
        <w:t xml:space="preserve">C'est le format attendu par l'écosystème MLX.</w:t>
      </w:r>
    </w:p>
    <w:p>
      <w:pPr>
        <w:pStyle w:val="Heading2"/>
        <w:spacing w:after="140" w:before="260"/>
      </w:pPr>
      <w:r>
        <w:rPr>
          <w:rFonts w:ascii="Calibri" w:cs="Calibri" w:eastAsia="Calibri" w:hAnsi="Calibri"/>
          <w:b/>
          <w:bCs/>
          <w:color w:val="2E74B5"/>
          <w:sz w:val="26"/>
          <w:szCs w:val="26"/>
        </w:rPr>
        <w:t xml:space="preserve">Deux obstacles rencontrés — et leur résolution</w:t>
      </w:r>
    </w:p>
    <w:p>
      <w:pPr>
        <w:spacing w:after="120" w:before="0" w:line="276"/>
      </w:pPr>
      <w:r>
        <w:rPr>
          <w:rFonts w:ascii="Calibri" w:cs="Calibri" w:eastAsia="Calibri" w:hAnsi="Calibri"/>
          <w:sz w:val="22"/>
          <w:szCs w:val="22"/>
        </w:rPr>
        <w:t xml:space="preserve">Cette migration n'a pas été une simple substitution de fichier. Deux défauts de la bibliothèque MLX ont dû être contournés.</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100"/>
        <w:gridCol w:w="3130"/>
        <w:gridCol w:w="3130"/>
      </w:tblGrid>
      <w:tr>
        <w:trPr>
          <w:tblHeader/>
        </w:trPr>
        <w:tc>
          <w:tcPr>
            <w:tcW w:type="dxa" w:w="310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Obstacle</w:t>
            </w:r>
          </w:p>
        </w:tc>
        <w:tc>
          <w:tcPr>
            <w:tcW w:type="dxa" w:w="313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Symptôme</w:t>
            </w:r>
          </w:p>
        </w:tc>
        <w:tc>
          <w:tcPr>
            <w:tcW w:type="dxa" w:w="313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Contournement retenu</w:t>
            </w:r>
          </w:p>
        </w:tc>
      </w:tr>
      <w:tr>
        <w:tc>
          <w:tcPr>
            <w:tcW w:type="dxa" w:w="3100"/>
            <w:tcMar>
              <w:top w:type="dxa" w:w="90"/>
              <w:left w:type="dxa" w:w="130"/>
              <w:bottom w:type="dxa" w:w="90"/>
              <w:right w:type="dxa" w:w="130"/>
            </w:tcMar>
          </w:tcPr>
          <w:p>
            <w:pPr>
              <w:spacing w:after="0" w:line="260"/>
            </w:pPr>
            <w:r>
              <w:rPr>
                <w:rFonts w:ascii="Calibri" w:cs="Calibri" w:eastAsia="Calibri" w:hAnsi="Calibri"/>
                <w:sz w:val="20"/>
                <w:szCs w:val="20"/>
              </w:rPr>
              <w:t xml:space="preserve">Accès concurrent à Metal</w:t>
            </w:r>
          </w:p>
        </w:tc>
        <w:tc>
          <w:tcPr>
            <w:tcW w:type="dxa" w:w="3130"/>
            <w:tcMar>
              <w:top w:type="dxa" w:w="90"/>
              <w:left w:type="dxa" w:w="130"/>
              <w:bottom w:type="dxa" w:w="90"/>
              <w:right w:type="dxa" w:w="130"/>
            </w:tcMar>
          </w:tcPr>
          <w:p>
            <w:pPr>
              <w:spacing w:after="0" w:line="260"/>
            </w:pPr>
            <w:r>
              <w:rPr>
                <w:rFonts w:ascii="Calibri" w:cs="Calibri" w:eastAsia="Calibri" w:hAnsi="Calibri"/>
                <w:sz w:val="20"/>
                <w:szCs w:val="20"/>
              </w:rPr>
              <w:t xml:space="preserve">Arrêt brutal du processus lorsque deux inférences se chevauchent, situation provoquée par le serveur web multi-fils</w:t>
            </w:r>
          </w:p>
        </w:tc>
        <w:tc>
          <w:tcPr>
            <w:tcW w:type="dxa" w:w="3130"/>
            <w:tcMar>
              <w:top w:type="dxa" w:w="90"/>
              <w:left w:type="dxa" w:w="130"/>
              <w:bottom w:type="dxa" w:w="90"/>
              <w:right w:type="dxa" w:w="130"/>
            </w:tcMar>
          </w:tcPr>
          <w:p>
            <w:pPr>
              <w:spacing w:after="0" w:line="260"/>
            </w:pPr>
            <w:r>
              <w:rPr>
                <w:rFonts w:ascii="Calibri" w:cs="Calibri" w:eastAsia="Calibri" w:hAnsi="Calibri"/>
                <w:sz w:val="20"/>
                <w:szCs w:val="20"/>
              </w:rPr>
              <w:t xml:space="preserve">Sérialisation des appels par un verrou d'exclusion mutuelle sur l'instance du détecteur</w:t>
            </w:r>
          </w:p>
        </w:tc>
      </w:tr>
      <w:tr>
        <w:tc>
          <w:tcPr>
            <w:tcW w:type="dxa" w:w="31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Perte des masques au suivi</w:t>
            </w:r>
          </w:p>
        </w:tc>
        <w:tc>
          <w:tcPr>
            <w:tcW w:type="dxa" w:w="313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La fonction de suivi intégrée reconstruit un résultat sans les masques de segmentation</w:t>
            </w:r>
          </w:p>
        </w:tc>
        <w:tc>
          <w:tcPr>
            <w:tcW w:type="dxa" w:w="313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Utilisation de la seule prédiction, complétée par un suivi par recouvrement de boîtes développé pour le projet</w:t>
            </w:r>
          </w:p>
        </w:tc>
      </w:tr>
    </w:tbl>
    <w:p>
      <w:pPr>
        <w:spacing w:after="0"/>
      </w:pPr>
      <w:r>
        <w:rPr>
          <w:sz w:val="18"/>
          <w:szCs w:val="18"/>
        </w:rPr>
        <w:t xml:space="preserve"/>
      </w:r>
    </w:p>
    <w:tbl>
      <w:tblPr>
        <w:tblW w:type="dxa" w:w="9360"/>
        <w:tblBorders>
          <w:top w:val="none"/>
          <w:left w:val="single" w:color="2E74B5" w:sz="18"/>
          <w:bottom w:val="none"/>
          <w:right w:val="none"/>
          <w:insideH w:val="none"/>
          <w:insideV w:val="none"/>
        </w:tblBorders>
      </w:tblPr>
      <w:tblGrid>
        <w:gridCol w:w="9360"/>
      </w:tblGrid>
      <w:tr>
        <w:tc>
          <w:tcPr>
            <w:tcW w:type="dxa" w:w="9360"/>
            <w:shd w:fill="FDF2E9" w:color="auto" w:val="clear"/>
            <w:tcMar>
              <w:top w:type="dxa" w:w="160"/>
              <w:left w:type="dxa" w:w="220"/>
              <w:bottom w:type="dxa" w:w="160"/>
              <w:right w:type="dxa" w:w="180"/>
            </w:tcMar>
          </w:tcPr>
          <w:p>
            <w:pPr>
              <w:spacing w:after="90" w:before="0" w:line="276"/>
            </w:pPr>
            <w:r>
              <w:rPr>
                <w:rFonts w:ascii="Calibri" w:cs="Calibri" w:eastAsia="Calibri" w:hAnsi="Calibri"/>
                <w:b/>
                <w:bCs/>
                <w:color w:val="1F3864"/>
                <w:sz w:val="21"/>
                <w:szCs w:val="21"/>
              </w:rPr>
              <w:t xml:space="preserve">Ce que cet épisode démontre</w:t>
            </w:r>
          </w:p>
          <w:p>
            <w:pPr>
              <w:spacing w:after="80" w:before="0" w:line="276"/>
            </w:pPr>
            <w:r>
              <w:rPr>
                <w:rFonts w:ascii="Calibri" w:cs="Calibri" w:eastAsia="Calibri" w:hAnsi="Calibri"/>
                <w:sz w:val="20"/>
                <w:szCs w:val="20"/>
              </w:rPr>
              <w:t xml:space="preserve">Adopter une technologie récente apporte un gain de performance réel, mais transfère une part de la responsabilité d'ingénierie vers le projet.</w:t>
            </w:r>
          </w:p>
          <w:p>
            <w:pPr>
              <w:spacing w:after="0" w:before="0" w:line="276"/>
            </w:pPr>
            <w:r>
              <w:rPr>
                <w:rFonts w:ascii="Calibri" w:cs="Calibri" w:eastAsia="Calibri" w:hAnsi="Calibri"/>
                <w:sz w:val="20"/>
                <w:szCs w:val="20"/>
              </w:rPr>
              <w:t xml:space="preserve">Le suivi par recouvrement de boîtes, écrit pour compenser un défaut de la bibliothèque, fait désormais partie intégrante du système et lui assure son indépendance vis-à-vis de ce composant.</w:t>
            </w:r>
          </w:p>
        </w:tc>
      </w:tr>
    </w:tbl>
    <w:p>
      <w:pPr>
        <w:spacing w:after="0"/>
      </w:pPr>
      <w:r>
        <w:rPr>
          <w:sz w:val="18"/>
          <w:szCs w:val="18"/>
        </w:rPr>
        <w:t xml:space="preserve"/>
      </w:r>
    </w:p>
    <w:tbl>
      <w:tblPr>
        <w:tblW w:type="dxa" w:w="9360"/>
        <w:tblBorders>
          <w:top w:val="dashed" w:color="2E74B5" w:sz="8"/>
          <w:left w:val="dashed" w:color="2E74B5" w:sz="8"/>
          <w:bottom w:val="dashed" w:color="2E74B5" w:sz="8"/>
          <w:right w:val="dashed" w:color="2E74B5" w:sz="8"/>
          <w:insideH w:val="single" w:color="auto" w:sz="4"/>
          <w:insideV w:val="single" w:color="auto" w:sz="4"/>
        </w:tblBorders>
      </w:tblPr>
      <w:tblGrid>
        <w:gridCol w:w="9360"/>
      </w:tblGrid>
      <w:tr>
        <w:tc>
          <w:tcPr>
            <w:tcW w:type="dxa" w:w="9360"/>
            <w:shd w:fill="FAFCFF" w:color="auto" w:val="clear"/>
            <w:tcMar>
              <w:top w:type="dxa" w:w="240"/>
              <w:left w:type="dxa" w:w="200"/>
              <w:bottom w:type="dxa" w:w="240"/>
              <w:right w:type="dxa" w:w="200"/>
            </w:tcMar>
          </w:tcPr>
          <w:p>
            <w:pPr>
              <w:spacing w:after="0"/>
            </w:pPr>
            <w:r>
              <w:rPr>
                <w:sz w:val="18"/>
                <w:szCs w:val="18"/>
              </w:rPr>
              <w:t xml:space="preserve"/>
            </w:r>
          </w:p>
          <w:p>
            <w:pPr>
              <w:spacing w:after="0"/>
            </w:pPr>
            <w:r>
              <w:rPr>
                <w:sz w:val="18"/>
                <w:szCs w:val="18"/>
              </w:rPr>
              <w:t xml:space="preserve"/>
            </w:r>
          </w:p>
          <w:p>
            <w:pPr>
              <w:spacing w:after="100" w:before="0" w:line="276"/>
              <w:jc w:val="center"/>
            </w:pPr>
            <w:r>
              <w:rPr>
                <w:rFonts w:ascii="Calibri" w:cs="Calibri" w:eastAsia="Calibri" w:hAnsi="Calibri"/>
                <w:b/>
                <w:bCs/>
                <w:color w:val="2E74B5"/>
                <w:sz w:val="20"/>
                <w:szCs w:val="20"/>
              </w:rPr>
              <w:t xml:space="preserve">[ ESPACE RÉSERVÉ — INSÉRER LA CAPTURE D'ÉCRAN ICI ]</w:t>
            </w:r>
          </w:p>
          <w:p>
            <w:pPr>
              <w:spacing w:after="0" w:before="0" w:line="276"/>
              <w:jc w:val="center"/>
            </w:pPr>
            <w:r>
              <w:rPr>
                <w:rFonts w:ascii="Calibri" w:cs="Calibri" w:eastAsia="Calibri" w:hAnsi="Calibri"/>
                <w:i/>
                <w:iCs/>
                <w:color w:val="808080"/>
                <w:sz w:val="18"/>
                <w:szCs w:val="18"/>
              </w:rPr>
              <w:t xml:space="preserve">Suggestion : capture affichant le périphérique « mlx » actif et le compteur d'images par seconde, à comparer avec l'exécution sur MPS.</w:t>
            </w:r>
          </w:p>
          <w:p>
            <w:pPr>
              <w:spacing w:after="0"/>
            </w:pPr>
            <w:r>
              <w:rPr>
                <w:sz w:val="18"/>
                <w:szCs w:val="18"/>
              </w:rPr>
              <w:t xml:space="preserve"/>
            </w:r>
          </w:p>
          <w:p>
            <w:pPr>
              <w:spacing w:after="0"/>
            </w:pPr>
            <w:r>
              <w:rPr>
                <w:sz w:val="18"/>
                <w:szCs w:val="18"/>
              </w:rPr>
              <w:t xml:space="preserve"/>
            </w:r>
          </w:p>
          <w:p>
            <w:pPr>
              <w:spacing w:after="0"/>
            </w:pPr>
            <w:r>
              <w:rPr>
                <w:sz w:val="18"/>
                <w:szCs w:val="18"/>
              </w:rPr>
              <w:t xml:space="preserve"/>
            </w:r>
          </w:p>
        </w:tc>
      </w:tr>
    </w:tbl>
    <w:p>
      <w:pPr>
        <w:spacing w:after="220" w:before="80" w:line="276"/>
        <w:jc w:val="center"/>
      </w:pPr>
      <w:r>
        <w:rPr>
          <w:rFonts w:ascii="Calibri" w:cs="Calibri" w:eastAsia="Calibri" w:hAnsi="Calibri"/>
          <w:i/>
          <w:iCs/>
          <w:color w:val="808080"/>
          <w:sz w:val="18"/>
          <w:szCs w:val="18"/>
        </w:rPr>
        <w:t xml:space="preserve">Figure 8 — Exécution sur MLX — gain de débit</w:t>
      </w:r>
    </w:p>
    <w:p>
      <w:r>
        <w:br w:type="page"/>
      </w:r>
    </w:p>
    <w:p>
      <w:pPr>
        <w:pStyle w:val="Heading1"/>
        <w:spacing w:after="180" w:before="360"/>
      </w:pPr>
      <w:r>
        <w:rPr>
          <w:rFonts w:ascii="Calibri" w:cs="Calibri" w:eastAsia="Calibri" w:hAnsi="Calibri"/>
          <w:b/>
          <w:bCs/>
          <w:color w:val="1F3864"/>
          <w:sz w:val="32"/>
          <w:szCs w:val="32"/>
        </w:rPr>
        <w:t xml:space="preserve">8. Étape 6 — Reconnaissance de race : HSV → CLIP → SigLIP-2</w:t>
      </w:r>
    </w:p>
    <w:p>
      <w:pPr>
        <w:spacing w:after="120" w:before="0" w:line="276"/>
      </w:pPr>
      <w:r>
        <w:rPr>
          <w:rFonts w:ascii="Calibri" w:cs="Calibri" w:eastAsia="Calibri" w:hAnsi="Calibri"/>
          <w:sz w:val="22"/>
          <w:szCs w:val="22"/>
        </w:rPr>
        <w:t xml:space="preserve">L'identification de la race a connu trois générations successives. C'est l'exemple le plus net d'une fonctionnalité affinée par itérations, chacune motivée par une insuffisance mesurée de la précédente.</w:t>
      </w:r>
    </w:p>
    <w:p>
      <w:pPr>
        <w:pStyle w:val="Heading2"/>
        <w:spacing w:after="140" w:before="260"/>
      </w:pPr>
      <w:r>
        <w:rPr>
          <w:rFonts w:ascii="Calibri" w:cs="Calibri" w:eastAsia="Calibri" w:hAnsi="Calibri"/>
          <w:b/>
          <w:bCs/>
          <w:color w:val="2E74B5"/>
          <w:sz w:val="26"/>
          <w:szCs w:val="26"/>
        </w:rPr>
        <w:t xml:space="preserve">Première génération — analyse de la robe par histogramme HSV</w:t>
      </w:r>
    </w:p>
    <w:p>
      <w:pPr>
        <w:pStyle w:val="ListParagraph"/>
        <w:numPr>
          <w:ilvl w:val="0"/>
          <w:numId w:val="2"/>
        </w:numPr>
        <w:spacing w:after="80" w:line="276"/>
      </w:pPr>
      <w:r>
        <w:rPr>
          <w:rFonts w:ascii="Calibri" w:cs="Calibri" w:eastAsia="Calibri" w:hAnsi="Calibri"/>
          <w:b/>
          <w:bCs/>
          <w:sz w:val="22"/>
          <w:szCs w:val="22"/>
        </w:rPr>
        <w:t xml:space="preserve">Principe. </w:t>
      </w:r>
      <w:r>
        <w:rPr>
          <w:rFonts w:ascii="Calibri" w:cs="Calibri" w:eastAsia="Calibri" w:hAnsi="Calibri"/>
          <w:sz w:val="22"/>
          <w:szCs w:val="22"/>
        </w:rPr>
        <w:t xml:space="preserve">Comparaison de la teinte dominante du pelage à une table de référence par race.</w:t>
      </w:r>
    </w:p>
    <w:p>
      <w:pPr>
        <w:pStyle w:val="ListParagraph"/>
        <w:numPr>
          <w:ilvl w:val="0"/>
          <w:numId w:val="2"/>
        </w:numPr>
        <w:spacing w:after="80" w:line="276"/>
      </w:pPr>
      <w:r>
        <w:rPr>
          <w:rFonts w:ascii="Calibri" w:cs="Calibri" w:eastAsia="Calibri" w:hAnsi="Calibri"/>
          <w:b/>
          <w:bCs/>
          <w:sz w:val="22"/>
          <w:szCs w:val="22"/>
        </w:rPr>
        <w:t xml:space="preserve">Avantage. </w:t>
      </w:r>
      <w:r>
        <w:rPr>
          <w:rFonts w:ascii="Calibri" w:cs="Calibri" w:eastAsia="Calibri" w:hAnsi="Calibri"/>
          <w:sz w:val="22"/>
          <w:szCs w:val="22"/>
        </w:rPr>
        <w:t xml:space="preserve">Coût de calcul négligeable, aucun modèle à charger.</w:t>
      </w:r>
    </w:p>
    <w:p>
      <w:pPr>
        <w:pStyle w:val="ListParagraph"/>
        <w:numPr>
          <w:ilvl w:val="0"/>
          <w:numId w:val="2"/>
        </w:numPr>
        <w:spacing w:after="80" w:line="276"/>
      </w:pPr>
      <w:r>
        <w:rPr>
          <w:rFonts w:ascii="Calibri" w:cs="Calibri" w:eastAsia="Calibri" w:hAnsi="Calibri"/>
          <w:b/>
          <w:bCs/>
          <w:sz w:val="22"/>
          <w:szCs w:val="22"/>
        </w:rPr>
        <w:t xml:space="preserve">Limite rédhibitoire. </w:t>
      </w:r>
      <w:r>
        <w:rPr>
          <w:rFonts w:ascii="Calibri" w:cs="Calibri" w:eastAsia="Calibri" w:hAnsi="Calibri"/>
          <w:sz w:val="22"/>
          <w:szCs w:val="22"/>
        </w:rPr>
        <w:t xml:space="preserve">Toutes les races à robe fauve — Charolaise, Limousine, Salers — se confondent. La couleur seule ne les distingue pas ; il faut tenir compte de la morphologie.</w:t>
      </w:r>
    </w:p>
    <w:p>
      <w:pPr>
        <w:pStyle w:val="Heading2"/>
        <w:spacing w:after="140" w:before="260"/>
      </w:pPr>
      <w:r>
        <w:rPr>
          <w:rFonts w:ascii="Calibri" w:cs="Calibri" w:eastAsia="Calibri" w:hAnsi="Calibri"/>
          <w:b/>
          <w:bCs/>
          <w:color w:val="2E74B5"/>
          <w:sz w:val="26"/>
          <w:szCs w:val="26"/>
        </w:rPr>
        <w:t xml:space="preserve">Deuxième génération — CLIP en classification sans exemple</w:t>
      </w:r>
    </w:p>
    <w:p>
      <w:pPr>
        <w:pStyle w:val="ListParagraph"/>
        <w:numPr>
          <w:ilvl w:val="0"/>
          <w:numId w:val="2"/>
        </w:numPr>
        <w:spacing w:after="80" w:line="276"/>
      </w:pPr>
      <w:r>
        <w:rPr>
          <w:rFonts w:ascii="Calibri" w:cs="Calibri" w:eastAsia="Calibri" w:hAnsi="Calibri"/>
          <w:b/>
          <w:bCs/>
          <w:sz w:val="22"/>
          <w:szCs w:val="22"/>
        </w:rPr>
        <w:t xml:space="preserve">Principe. </w:t>
      </w:r>
      <w:r>
        <w:rPr>
          <w:rFonts w:ascii="Calibri" w:cs="Calibri" w:eastAsia="Calibri" w:hAnsi="Calibri"/>
          <w:sz w:val="22"/>
          <w:szCs w:val="22"/>
        </w:rPr>
        <w:t xml:space="preserve">Un modèle associant images et textes compare l'imagette du bovin à des descriptions textuelles de races. Aucun entraînement n'est requis.</w:t>
      </w:r>
    </w:p>
    <w:p>
      <w:pPr>
        <w:pStyle w:val="ListParagraph"/>
        <w:numPr>
          <w:ilvl w:val="0"/>
          <w:numId w:val="2"/>
        </w:numPr>
        <w:spacing w:after="80" w:line="276"/>
      </w:pPr>
      <w:r>
        <w:rPr>
          <w:rFonts w:ascii="Calibri" w:cs="Calibri" w:eastAsia="Calibri" w:hAnsi="Calibri"/>
          <w:b/>
          <w:bCs/>
          <w:sz w:val="22"/>
          <w:szCs w:val="22"/>
        </w:rPr>
        <w:t xml:space="preserve">Progrès. </w:t>
      </w:r>
      <w:r>
        <w:rPr>
          <w:rFonts w:ascii="Calibri" w:cs="Calibri" w:eastAsia="Calibri" w:hAnsi="Calibri"/>
          <w:sz w:val="22"/>
          <w:szCs w:val="22"/>
        </w:rPr>
        <w:t xml:space="preserve">Le modèle perçoit la forme, la texture et le contexte, et non plus la seule couleur.</w:t>
      </w:r>
    </w:p>
    <w:p>
      <w:pPr>
        <w:pStyle w:val="ListParagraph"/>
        <w:numPr>
          <w:ilvl w:val="0"/>
          <w:numId w:val="2"/>
        </w:numPr>
        <w:spacing w:after="80" w:line="276"/>
      </w:pPr>
      <w:r>
        <w:rPr>
          <w:rFonts w:ascii="Calibri" w:cs="Calibri" w:eastAsia="Calibri" w:hAnsi="Calibri"/>
          <w:b/>
          <w:bCs/>
          <w:sz w:val="22"/>
          <w:szCs w:val="22"/>
        </w:rPr>
        <w:t xml:space="preserve">Limite. </w:t>
      </w:r>
      <w:r>
        <w:rPr>
          <w:rFonts w:ascii="Calibri" w:cs="Calibri" w:eastAsia="Calibri" w:hAnsi="Calibri"/>
          <w:sz w:val="22"/>
          <w:szCs w:val="22"/>
        </w:rPr>
        <w:t xml:space="preserve">CLIP ViT-B/32 atteint environ 63 % sur le jeu de référence ImageNet. Cette capacité reste insuffisante pour des distinctions fines entre races proches.</w:t>
      </w:r>
    </w:p>
    <w:p>
      <w:pPr>
        <w:pStyle w:val="Heading2"/>
        <w:spacing w:after="140" w:before="260"/>
      </w:pPr>
      <w:r>
        <w:rPr>
          <w:rFonts w:ascii="Calibri" w:cs="Calibri" w:eastAsia="Calibri" w:hAnsi="Calibri"/>
          <w:b/>
          <w:bCs/>
          <w:color w:val="2E74B5"/>
          <w:sz w:val="26"/>
          <w:szCs w:val="26"/>
        </w:rPr>
        <w:t xml:space="preserve">Troisième génération — SigLIP-2 So400m</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200"/>
        <w:gridCol w:w="6160"/>
      </w:tblGrid>
      <w:tr>
        <w:trPr>
          <w:tblHeader/>
        </w:trPr>
        <w:tc>
          <w:tcPr>
            <w:tcW w:type="dxa" w:w="320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Critère</w:t>
            </w:r>
          </w:p>
        </w:tc>
        <w:tc>
          <w:tcPr>
            <w:tcW w:type="dxa" w:w="616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SigLIP-2 So400m</w:t>
            </w:r>
          </w:p>
        </w:tc>
      </w:tr>
      <w:tr>
        <w:tc>
          <w:tcPr>
            <w:tcW w:type="dxa" w:w="3200"/>
            <w:tcMar>
              <w:top w:type="dxa" w:w="90"/>
              <w:left w:type="dxa" w:w="130"/>
              <w:bottom w:type="dxa" w:w="90"/>
              <w:right w:type="dxa" w:w="130"/>
            </w:tcMar>
          </w:tcPr>
          <w:p>
            <w:pPr>
              <w:spacing w:after="0" w:line="260"/>
            </w:pPr>
            <w:r>
              <w:rPr>
                <w:rFonts w:ascii="Calibri" w:cs="Calibri" w:eastAsia="Calibri" w:hAnsi="Calibri"/>
                <w:sz w:val="20"/>
                <w:szCs w:val="20"/>
              </w:rPr>
              <w:t xml:space="preserve">Identifiant</w:t>
            </w:r>
          </w:p>
        </w:tc>
        <w:tc>
          <w:tcPr>
            <w:tcW w:type="dxa" w:w="6160"/>
            <w:tcMar>
              <w:top w:type="dxa" w:w="90"/>
              <w:left w:type="dxa" w:w="130"/>
              <w:bottom w:type="dxa" w:w="90"/>
              <w:right w:type="dxa" w:w="130"/>
            </w:tcMar>
          </w:tcPr>
          <w:p>
            <w:pPr>
              <w:spacing w:after="0" w:line="260"/>
            </w:pPr>
            <w:r>
              <w:rPr>
                <w:rFonts w:ascii="Calibri" w:cs="Calibri" w:eastAsia="Calibri" w:hAnsi="Calibri"/>
                <w:sz w:val="20"/>
                <w:szCs w:val="20"/>
              </w:rPr>
              <w:t xml:space="preserve">google/siglip2-so400m-patch16-384</w:t>
            </w:r>
          </w:p>
        </w:tc>
      </w:tr>
      <w:tr>
        <w:tc>
          <w:tcPr>
            <w:tcW w:type="dxa" w:w="32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Nombre de paramètres</w:t>
            </w:r>
          </w:p>
        </w:tc>
        <w:tc>
          <w:tcPr>
            <w:tcW w:type="dxa" w:w="616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1 136 millions</w:t>
            </w:r>
          </w:p>
        </w:tc>
      </w:tr>
      <w:tr>
        <w:tc>
          <w:tcPr>
            <w:tcW w:type="dxa" w:w="3200"/>
            <w:tcMar>
              <w:top w:type="dxa" w:w="90"/>
              <w:left w:type="dxa" w:w="130"/>
              <w:bottom w:type="dxa" w:w="90"/>
              <w:right w:type="dxa" w:w="130"/>
            </w:tcMar>
          </w:tcPr>
          <w:p>
            <w:pPr>
              <w:spacing w:after="0" w:line="260"/>
            </w:pPr>
            <w:r>
              <w:rPr>
                <w:rFonts w:ascii="Calibri" w:cs="Calibri" w:eastAsia="Calibri" w:hAnsi="Calibri"/>
                <w:sz w:val="20"/>
                <w:szCs w:val="20"/>
              </w:rPr>
              <w:t xml:space="preserve">Performance de référence</w:t>
            </w:r>
          </w:p>
        </w:tc>
        <w:tc>
          <w:tcPr>
            <w:tcW w:type="dxa" w:w="6160"/>
            <w:tcMar>
              <w:top w:type="dxa" w:w="90"/>
              <w:left w:type="dxa" w:w="130"/>
              <w:bottom w:type="dxa" w:w="90"/>
              <w:right w:type="dxa" w:w="130"/>
            </w:tcMar>
          </w:tcPr>
          <w:p>
            <w:pPr>
              <w:spacing w:after="0" w:line="260"/>
            </w:pPr>
            <w:r>
              <w:rPr>
                <w:rFonts w:ascii="Calibri" w:cs="Calibri" w:eastAsia="Calibri" w:hAnsi="Calibri"/>
                <w:sz w:val="20"/>
                <w:szCs w:val="20"/>
              </w:rPr>
              <w:t xml:space="preserve">84,1 % sur ImageNet, contre environ 63 % pour CLIP ViT-B/32</w:t>
            </w:r>
          </w:p>
        </w:tc>
      </w:tr>
      <w:tr>
        <w:tc>
          <w:tcPr>
            <w:tcW w:type="dxa" w:w="32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Motif du choix</w:t>
            </w:r>
          </w:p>
        </w:tc>
        <w:tc>
          <w:tcPr>
            <w:tcW w:type="dxa" w:w="616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État de l'art 2025 en classification fine sans exemple d'entraînement</w:t>
            </w:r>
          </w:p>
        </w:tc>
      </w:tr>
      <w:tr>
        <w:tc>
          <w:tcPr>
            <w:tcW w:type="dxa" w:w="3200"/>
            <w:tcMar>
              <w:top w:type="dxa" w:w="90"/>
              <w:left w:type="dxa" w:w="130"/>
              <w:bottom w:type="dxa" w:w="90"/>
              <w:right w:type="dxa" w:w="130"/>
            </w:tcMar>
          </w:tcPr>
          <w:p>
            <w:pPr>
              <w:spacing w:after="0" w:line="260"/>
            </w:pPr>
            <w:r>
              <w:rPr>
                <w:rFonts w:ascii="Calibri" w:cs="Calibri" w:eastAsia="Calibri" w:hAnsi="Calibri"/>
                <w:sz w:val="20"/>
                <w:szCs w:val="20"/>
              </w:rPr>
              <w:t xml:space="preserve">Repli en cas d'indisponibilité</w:t>
            </w:r>
          </w:p>
        </w:tc>
        <w:tc>
          <w:tcPr>
            <w:tcW w:type="dxa" w:w="6160"/>
            <w:tcMar>
              <w:top w:type="dxa" w:w="90"/>
              <w:left w:type="dxa" w:w="130"/>
              <w:bottom w:type="dxa" w:w="90"/>
              <w:right w:type="dxa" w:w="130"/>
            </w:tcMar>
          </w:tcPr>
          <w:p>
            <w:pPr>
              <w:spacing w:after="0" w:line="260"/>
            </w:pPr>
            <w:r>
              <w:rPr>
                <w:rFonts w:ascii="Calibri" w:cs="Calibri" w:eastAsia="Calibri" w:hAnsi="Calibri"/>
                <w:sz w:val="20"/>
                <w:szCs w:val="20"/>
              </w:rPr>
              <w:t xml:space="preserve">CLIP, puis analyse HSV — la chaîne se dégrade sans jamais interrompre le service</w:t>
            </w:r>
          </w:p>
        </w:tc>
      </w:tr>
    </w:tbl>
    <w:p>
      <w:pPr>
        <w:pStyle w:val="Heading2"/>
        <w:spacing w:after="140" w:before="260"/>
      </w:pPr>
      <w:r>
        <w:rPr>
          <w:rFonts w:ascii="Calibri" w:cs="Calibri" w:eastAsia="Calibri" w:hAnsi="Calibri"/>
          <w:b/>
          <w:bCs/>
          <w:color w:val="2E74B5"/>
          <w:sz w:val="26"/>
          <w:szCs w:val="26"/>
        </w:rPr>
        <w:t xml:space="preserve">La décision de conception la plus importante de cette étape</w:t>
      </w:r>
    </w:p>
    <w:p>
      <w:pPr>
        <w:spacing w:after="120" w:before="0" w:line="276"/>
      </w:pPr>
      <w:r>
        <w:rPr>
          <w:rFonts w:ascii="Calibri" w:cs="Calibri" w:eastAsia="Calibri" w:hAnsi="Calibri"/>
          <w:sz w:val="22"/>
          <w:szCs w:val="22"/>
        </w:rPr>
        <w:t xml:space="preserve">Aucun modèle sans exemple d'entraînement ne peut garantir une distinction fiable entre races voisines. Plutôt que d'afficher systématiquement la race la mieux notée, le système applique un seuil de confiance.</w:t>
      </w:r>
    </w:p>
    <w:p>
      <w:pPr>
        <w:spacing w:after="120" w:before="0" w:line="276"/>
      </w:pPr>
      <w:r>
        <w:rPr>
          <w:rFonts w:ascii="Calibri" w:cs="Calibri" w:eastAsia="Calibri" w:hAnsi="Calibri"/>
          <w:b/>
          <w:bCs/>
          <w:sz w:val="22"/>
          <w:szCs w:val="22"/>
        </w:rPr>
        <w:t xml:space="preserve">Le seuil porte sur la marge — l'écart entre le premier et le second candidat — et non sur le score brut. </w:t>
      </w:r>
      <w:r>
        <w:rPr>
          <w:rFonts w:ascii="Calibri" w:cs="Calibri" w:eastAsia="Calibri" w:hAnsi="Calibri"/>
          <w:sz w:val="22"/>
          <w:szCs w:val="22"/>
        </w:rPr>
        <w:t xml:space="preserve">Un score isolé n'informe pas sur la certitude ; c'est l'écart entre les hypothèses concurrentes qui la traduit. En deçà de la marge minimale, le système affiche « Race indéterminée ».</w:t>
      </w:r>
    </w:p>
    <w:tbl>
      <w:tblPr>
        <w:tblW w:type="dxa" w:w="9360"/>
        <w:tblBorders>
          <w:top w:val="none"/>
          <w:left w:val="single" w:color="2E74B5" w:sz="18"/>
          <w:bottom w:val="none"/>
          <w:right w:val="none"/>
          <w:insideH w:val="none"/>
          <w:insideV w:val="none"/>
        </w:tblBorders>
      </w:tblPr>
      <w:tblGrid>
        <w:gridCol w:w="9360"/>
      </w:tblGrid>
      <w:tr>
        <w:tc>
          <w:tcPr>
            <w:tcW w:type="dxa" w:w="9360"/>
            <w:shd w:fill="F2F6FB" w:color="auto" w:val="clear"/>
            <w:tcMar>
              <w:top w:type="dxa" w:w="160"/>
              <w:left w:type="dxa" w:w="220"/>
              <w:bottom w:type="dxa" w:w="160"/>
              <w:right w:type="dxa" w:w="180"/>
            </w:tcMar>
          </w:tcPr>
          <w:p>
            <w:pPr>
              <w:spacing w:after="90" w:before="0" w:line="276"/>
            </w:pPr>
            <w:r>
              <w:rPr>
                <w:rFonts w:ascii="Calibri" w:cs="Calibri" w:eastAsia="Calibri" w:hAnsi="Calibri"/>
                <w:b/>
                <w:bCs/>
                <w:color w:val="1F3864"/>
                <w:sz w:val="21"/>
                <w:szCs w:val="21"/>
              </w:rPr>
              <w:t xml:space="preserve">Un choix défendable en soutenance</w:t>
            </w:r>
          </w:p>
          <w:p>
            <w:pPr>
              <w:spacing w:after="80" w:before="0" w:line="276"/>
            </w:pPr>
            <w:r>
              <w:rPr>
                <w:rFonts w:ascii="Calibri" w:cs="Calibri" w:eastAsia="Calibri" w:hAnsi="Calibri"/>
                <w:sz w:val="20"/>
                <w:szCs w:val="20"/>
              </w:rPr>
              <w:t xml:space="preserve">Afficher « Race indéterminée » plutôt qu'une race plausible mais incertaine est une position méthodologique assumée.</w:t>
            </w:r>
          </w:p>
          <w:p>
            <w:pPr>
              <w:spacing w:after="80" w:before="0" w:line="276"/>
            </w:pPr>
            <w:r>
              <w:rPr>
                <w:rFonts w:ascii="Calibri" w:cs="Calibri" w:eastAsia="Calibri" w:hAnsi="Calibri"/>
                <w:sz w:val="20"/>
                <w:szCs w:val="20"/>
              </w:rPr>
              <w:t xml:space="preserve">Un système qui reconnaît ses limites est plus exploitable qu'un système qui affirme toujours quelque chose : l'éleveur sait quand il doit vérifier lui-même.</w:t>
            </w:r>
          </w:p>
          <w:p>
            <w:pPr>
              <w:spacing w:after="0" w:before="0" w:line="276"/>
            </w:pPr>
            <w:r>
              <w:rPr>
                <w:rFonts w:ascii="Calibri" w:cs="Calibri" w:eastAsia="Calibri" w:hAnsi="Calibri"/>
                <w:sz w:val="20"/>
                <w:szCs w:val="20"/>
              </w:rPr>
              <w:t xml:space="preserve">Un correctif ultérieur a remplacé la fonction sigmoïde par une fonction softmax, la classification étant mono-étiquette : un bovin appartient à une seule race, les probabilités doivent donc se répartir entre les races et non être évaluées indépendamment.</w:t>
            </w:r>
          </w:p>
        </w:tc>
      </w:tr>
    </w:tbl>
    <w:p>
      <w:pPr>
        <w:spacing w:after="0"/>
      </w:pPr>
      <w:r>
        <w:rPr>
          <w:sz w:val="18"/>
          <w:szCs w:val="18"/>
        </w:rPr>
        <w:t xml:space="preserve"/>
      </w:r>
    </w:p>
    <w:tbl>
      <w:tblPr>
        <w:tblW w:type="dxa" w:w="9360"/>
        <w:tblBorders>
          <w:top w:val="dashed" w:color="2E74B5" w:sz="8"/>
          <w:left w:val="dashed" w:color="2E74B5" w:sz="8"/>
          <w:bottom w:val="dashed" w:color="2E74B5" w:sz="8"/>
          <w:right w:val="dashed" w:color="2E74B5" w:sz="8"/>
          <w:insideH w:val="single" w:color="auto" w:sz="4"/>
          <w:insideV w:val="single" w:color="auto" w:sz="4"/>
        </w:tblBorders>
      </w:tblPr>
      <w:tblGrid>
        <w:gridCol w:w="9360"/>
      </w:tblGrid>
      <w:tr>
        <w:tc>
          <w:tcPr>
            <w:tcW w:type="dxa" w:w="9360"/>
            <w:shd w:fill="FAFCFF" w:color="auto" w:val="clear"/>
            <w:tcMar>
              <w:top w:type="dxa" w:w="240"/>
              <w:left w:type="dxa" w:w="200"/>
              <w:bottom w:type="dxa" w:w="240"/>
              <w:right w:type="dxa" w:w="200"/>
            </w:tcMar>
          </w:tcPr>
          <w:p>
            <w:pPr>
              <w:spacing w:after="0"/>
            </w:pPr>
            <w:r>
              <w:rPr>
                <w:sz w:val="18"/>
                <w:szCs w:val="18"/>
              </w:rPr>
              <w:t xml:space="preserve"/>
            </w:r>
          </w:p>
          <w:p>
            <w:pPr>
              <w:spacing w:after="0"/>
            </w:pPr>
            <w:r>
              <w:rPr>
                <w:sz w:val="18"/>
                <w:szCs w:val="18"/>
              </w:rPr>
              <w:t xml:space="preserve"/>
            </w:r>
          </w:p>
          <w:p>
            <w:pPr>
              <w:spacing w:after="100" w:before="0" w:line="276"/>
              <w:jc w:val="center"/>
            </w:pPr>
            <w:r>
              <w:rPr>
                <w:rFonts w:ascii="Calibri" w:cs="Calibri" w:eastAsia="Calibri" w:hAnsi="Calibri"/>
                <w:b/>
                <w:bCs/>
                <w:color w:val="2E74B5"/>
                <w:sz w:val="20"/>
                <w:szCs w:val="20"/>
              </w:rPr>
              <w:t xml:space="preserve">[ ESPACE RÉSERVÉ — INSÉRER LA CAPTURE D'ÉCRAN ICI ]</w:t>
            </w:r>
          </w:p>
          <w:p>
            <w:pPr>
              <w:spacing w:after="0" w:before="0" w:line="276"/>
              <w:jc w:val="center"/>
            </w:pPr>
            <w:r>
              <w:rPr>
                <w:rFonts w:ascii="Calibri" w:cs="Calibri" w:eastAsia="Calibri" w:hAnsi="Calibri"/>
                <w:i/>
                <w:iCs/>
                <w:color w:val="808080"/>
                <w:sz w:val="18"/>
                <w:szCs w:val="18"/>
              </w:rPr>
              <w:t xml:space="preserve">Suggestion : capture montrant une race identifiée avec son indice, et si possible un cas « Race indéterminée ».</w:t>
            </w:r>
          </w:p>
          <w:p>
            <w:pPr>
              <w:spacing w:after="0"/>
            </w:pPr>
            <w:r>
              <w:rPr>
                <w:sz w:val="18"/>
                <w:szCs w:val="18"/>
              </w:rPr>
              <w:t xml:space="preserve"/>
            </w:r>
          </w:p>
          <w:p>
            <w:pPr>
              <w:spacing w:after="0"/>
            </w:pPr>
            <w:r>
              <w:rPr>
                <w:sz w:val="18"/>
                <w:szCs w:val="18"/>
              </w:rPr>
              <w:t xml:space="preserve"/>
            </w:r>
          </w:p>
          <w:p>
            <w:pPr>
              <w:spacing w:after="0"/>
            </w:pPr>
            <w:r>
              <w:rPr>
                <w:sz w:val="18"/>
                <w:szCs w:val="18"/>
              </w:rPr>
              <w:t xml:space="preserve"/>
            </w:r>
          </w:p>
        </w:tc>
      </w:tr>
    </w:tbl>
    <w:p>
      <w:pPr>
        <w:spacing w:after="220" w:before="80" w:line="276"/>
        <w:jc w:val="center"/>
      </w:pPr>
      <w:r>
        <w:rPr>
          <w:rFonts w:ascii="Calibri" w:cs="Calibri" w:eastAsia="Calibri" w:hAnsi="Calibri"/>
          <w:i/>
          <w:iCs/>
          <w:color w:val="808080"/>
          <w:sz w:val="18"/>
          <w:szCs w:val="18"/>
        </w:rPr>
        <w:t xml:space="preserve">Figure 9 — Identification de race avec indice de confiance</w:t>
      </w:r>
    </w:p>
    <w:p>
      <w:r>
        <w:br w:type="page"/>
      </w:r>
    </w:p>
    <w:p>
      <w:pPr>
        <w:pStyle w:val="Heading1"/>
        <w:spacing w:after="180" w:before="360"/>
      </w:pPr>
      <w:r>
        <w:rPr>
          <w:rFonts w:ascii="Calibri" w:cs="Calibri" w:eastAsia="Calibri" w:hAnsi="Calibri"/>
          <w:b/>
          <w:bCs/>
          <w:color w:val="1F3864"/>
          <w:sz w:val="32"/>
          <w:szCs w:val="32"/>
        </w:rPr>
        <w:t xml:space="preserve">9. Étape 7 — Ré-identification : DINOv2 → MegaDescriptor</w:t>
      </w:r>
    </w:p>
    <w:p>
      <w:pPr>
        <w:pStyle w:val="Heading2"/>
        <w:spacing w:after="140" w:before="260"/>
      </w:pPr>
      <w:r>
        <w:rPr>
          <w:rFonts w:ascii="Calibri" w:cs="Calibri" w:eastAsia="Calibri" w:hAnsi="Calibri"/>
          <w:b/>
          <w:bCs/>
          <w:color w:val="2E74B5"/>
          <w:sz w:val="26"/>
          <w:szCs w:val="26"/>
        </w:rPr>
        <w:t xml:space="preserve">La limite de DINOv2</w:t>
      </w:r>
    </w:p>
    <w:p>
      <w:pPr>
        <w:spacing w:after="120" w:before="0" w:line="276"/>
      </w:pPr>
      <w:r>
        <w:rPr>
          <w:rFonts w:ascii="Calibri" w:cs="Calibri" w:eastAsia="Calibri" w:hAnsi="Calibri"/>
          <w:sz w:val="22"/>
          <w:szCs w:val="22"/>
        </w:rPr>
        <w:t xml:space="preserve">DINOv2 est un extracteur généraliste, entraîné de façon auto-supervisée sur environ 142 millions d'images de toutes natures. Il produit d'excellentes représentations générales, mais n'a jamais été optimisé pour la question précise qui nous occupe : distinguer deux individus d'une même espèce, dont l'apparence est par définition très semblable.</w:t>
      </w:r>
    </w:p>
    <w:p>
      <w:pPr>
        <w:pStyle w:val="Heading2"/>
        <w:spacing w:after="140" w:before="260"/>
      </w:pPr>
      <w:r>
        <w:rPr>
          <w:rFonts w:ascii="Calibri" w:cs="Calibri" w:eastAsia="Calibri" w:hAnsi="Calibri"/>
          <w:b/>
          <w:bCs/>
          <w:color w:val="2E74B5"/>
          <w:sz w:val="26"/>
          <w:szCs w:val="26"/>
        </w:rPr>
        <w:t xml:space="preserve">MegaDescriptor</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200"/>
        <w:gridCol w:w="6160"/>
      </w:tblGrid>
      <w:tr>
        <w:trPr>
          <w:tblHeader/>
        </w:trPr>
        <w:tc>
          <w:tcPr>
            <w:tcW w:type="dxa" w:w="320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Critère</w:t>
            </w:r>
          </w:p>
        </w:tc>
        <w:tc>
          <w:tcPr>
            <w:tcW w:type="dxa" w:w="616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MegaDescriptor</w:t>
            </w:r>
          </w:p>
        </w:tc>
      </w:tr>
      <w:tr>
        <w:tc>
          <w:tcPr>
            <w:tcW w:type="dxa" w:w="3200"/>
            <w:tcMar>
              <w:top w:type="dxa" w:w="90"/>
              <w:left w:type="dxa" w:w="130"/>
              <w:bottom w:type="dxa" w:w="90"/>
              <w:right w:type="dxa" w:w="130"/>
            </w:tcMar>
          </w:tcPr>
          <w:p>
            <w:pPr>
              <w:spacing w:after="0" w:line="260"/>
            </w:pPr>
            <w:r>
              <w:rPr>
                <w:rFonts w:ascii="Calibri" w:cs="Calibri" w:eastAsia="Calibri" w:hAnsi="Calibri"/>
                <w:sz w:val="20"/>
                <w:szCs w:val="20"/>
              </w:rPr>
              <w:t xml:space="preserve">Origine</w:t>
            </w:r>
          </w:p>
        </w:tc>
        <w:tc>
          <w:tcPr>
            <w:tcW w:type="dxa" w:w="6160"/>
            <w:tcMar>
              <w:top w:type="dxa" w:w="90"/>
              <w:left w:type="dxa" w:w="130"/>
              <w:bottom w:type="dxa" w:w="90"/>
              <w:right w:type="dxa" w:w="130"/>
            </w:tcMar>
          </w:tcPr>
          <w:p>
            <w:pPr>
              <w:spacing w:after="0" w:line="260"/>
            </w:pPr>
            <w:r>
              <w:rPr>
                <w:rFonts w:ascii="Calibri" w:cs="Calibri" w:eastAsia="Calibri" w:hAnsi="Calibri"/>
                <w:sz w:val="20"/>
                <w:szCs w:val="20"/>
              </w:rPr>
              <w:t xml:space="preserve">Projet WildlifeDatasets — boîte à outils ouverte de ré-identification animale</w:t>
            </w:r>
          </w:p>
        </w:tc>
      </w:tr>
      <w:tr>
        <w:tc>
          <w:tcPr>
            <w:tcW w:type="dxa" w:w="32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Entraînement</w:t>
            </w:r>
          </w:p>
        </w:tc>
        <w:tc>
          <w:tcPr>
            <w:tcW w:type="dxa" w:w="616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Une trentaine de jeux de données de ré-identification animale</w:t>
            </w:r>
          </w:p>
        </w:tc>
      </w:tr>
      <w:tr>
        <w:tc>
          <w:tcPr>
            <w:tcW w:type="dxa" w:w="3200"/>
            <w:tcMar>
              <w:top w:type="dxa" w:w="90"/>
              <w:left w:type="dxa" w:w="130"/>
              <w:bottom w:type="dxa" w:w="90"/>
              <w:right w:type="dxa" w:w="130"/>
            </w:tcMar>
          </w:tcPr>
          <w:p>
            <w:pPr>
              <w:spacing w:after="0" w:line="260"/>
            </w:pPr>
            <w:r>
              <w:rPr>
                <w:rFonts w:ascii="Calibri" w:cs="Calibri" w:eastAsia="Calibri" w:hAnsi="Calibri"/>
                <w:sz w:val="20"/>
                <w:szCs w:val="20"/>
              </w:rPr>
              <w:t xml:space="preserve">Portée</w:t>
            </w:r>
          </w:p>
        </w:tc>
        <w:tc>
          <w:tcPr>
            <w:tcW w:type="dxa" w:w="6160"/>
            <w:tcMar>
              <w:top w:type="dxa" w:w="90"/>
              <w:left w:type="dxa" w:w="130"/>
              <w:bottom w:type="dxa" w:w="90"/>
              <w:right w:type="dxa" w:w="130"/>
            </w:tcMar>
          </w:tcPr>
          <w:p>
            <w:pPr>
              <w:spacing w:after="0" w:line="260"/>
            </w:pPr>
            <w:r>
              <w:rPr>
                <w:rFonts w:ascii="Calibri" w:cs="Calibri" w:eastAsia="Calibri" w:hAnsi="Calibri"/>
                <w:sz w:val="20"/>
                <w:szCs w:val="20"/>
              </w:rPr>
              <w:t xml:space="preserve">Indépendant de l'espèce</w:t>
            </w:r>
          </w:p>
        </w:tc>
      </w:tr>
      <w:tr>
        <w:tc>
          <w:tcPr>
            <w:tcW w:type="dxa" w:w="32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Performance annoncée</w:t>
            </w:r>
          </w:p>
        </w:tc>
        <w:tc>
          <w:tcPr>
            <w:tcW w:type="dxa" w:w="616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Surpasse nettement DINOv2 et CLIP sur les jeux de référence de ré-identification animale</w:t>
            </w:r>
          </w:p>
        </w:tc>
      </w:tr>
      <w:tr>
        <w:tc>
          <w:tcPr>
            <w:tcW w:type="dxa" w:w="3200"/>
            <w:tcMar>
              <w:top w:type="dxa" w:w="90"/>
              <w:left w:type="dxa" w:w="130"/>
              <w:bottom w:type="dxa" w:w="90"/>
              <w:right w:type="dxa" w:w="130"/>
            </w:tcMar>
          </w:tcPr>
          <w:p>
            <w:pPr>
              <w:spacing w:after="0" w:line="260"/>
            </w:pPr>
            <w:r>
              <w:rPr>
                <w:rFonts w:ascii="Calibri" w:cs="Calibri" w:eastAsia="Calibri" w:hAnsi="Calibri"/>
                <w:sz w:val="20"/>
                <w:szCs w:val="20"/>
              </w:rPr>
              <w:t xml:space="preserve">Intégration</w:t>
            </w:r>
          </w:p>
        </w:tc>
        <w:tc>
          <w:tcPr>
            <w:tcW w:type="dxa" w:w="6160"/>
            <w:tcMar>
              <w:top w:type="dxa" w:w="90"/>
              <w:left w:type="dxa" w:w="130"/>
              <w:bottom w:type="dxa" w:w="90"/>
              <w:right w:type="dxa" w:w="130"/>
            </w:tcMar>
          </w:tcPr>
          <w:p>
            <w:pPr>
              <w:spacing w:after="0" w:line="260"/>
            </w:pPr>
            <w:r>
              <w:rPr>
                <w:rFonts w:ascii="Calibri" w:cs="Calibri" w:eastAsia="Calibri" w:hAnsi="Calibri"/>
                <w:sz w:val="20"/>
                <w:szCs w:val="20"/>
              </w:rPr>
              <w:t xml:space="preserve">Chargement depuis le dépôt public de modèles, interface compatible avec l'existant</w:t>
            </w:r>
          </w:p>
        </w:tc>
      </w:tr>
    </w:tbl>
    <w:p>
      <w:pPr>
        <w:pStyle w:val="Heading2"/>
        <w:spacing w:after="140" w:before="260"/>
      </w:pPr>
      <w:r>
        <w:rPr>
          <w:rFonts w:ascii="Calibri" w:cs="Calibri" w:eastAsia="Calibri" w:hAnsi="Calibri"/>
          <w:b/>
          <w:bCs/>
          <w:color w:val="2E74B5"/>
          <w:sz w:val="26"/>
          <w:szCs w:val="26"/>
        </w:rPr>
        <w:t xml:space="preserve">Ce qui a été conservé</w:t>
      </w:r>
    </w:p>
    <w:p>
      <w:pPr>
        <w:spacing w:after="120" w:before="0" w:line="276"/>
      </w:pPr>
      <w:r>
        <w:rPr>
          <w:rFonts w:ascii="Calibri" w:cs="Calibri" w:eastAsia="Calibri" w:hAnsi="Calibri"/>
          <w:sz w:val="22"/>
          <w:szCs w:val="22"/>
        </w:rPr>
        <w:t xml:space="preserve">La fusion à trois signaux — empreinte profonde, histogramme de couleur, texture du pelage — a été maintenue. Seul le composant profond a été remplacé. Ces signaux restent complémentaires : le réseau capte la forme et la sémantique, l'histogramme la couleur de la robe, le descripteur de texture les motifs fins que la couleur seule ne restitue pas.</w:t>
      </w:r>
    </w:p>
    <w:tbl>
      <w:tblPr>
        <w:tblW w:type="dxa" w:w="9360"/>
        <w:tblBorders>
          <w:top w:val="none"/>
          <w:left w:val="single" w:color="2E74B5" w:sz="18"/>
          <w:bottom w:val="none"/>
          <w:right w:val="none"/>
          <w:insideH w:val="none"/>
          <w:insideV w:val="none"/>
        </w:tblBorders>
      </w:tblPr>
      <w:tblGrid>
        <w:gridCol w:w="9360"/>
      </w:tblGrid>
      <w:tr>
        <w:tc>
          <w:tcPr>
            <w:tcW w:type="dxa" w:w="9360"/>
            <w:shd w:fill="FDF2E9" w:color="auto" w:val="clear"/>
            <w:tcMar>
              <w:top w:type="dxa" w:w="160"/>
              <w:left w:type="dxa" w:w="220"/>
              <w:bottom w:type="dxa" w:w="160"/>
              <w:right w:type="dxa" w:w="180"/>
            </w:tcMar>
          </w:tcPr>
          <w:p>
            <w:pPr>
              <w:spacing w:after="90" w:before="0" w:line="276"/>
            </w:pPr>
            <w:r>
              <w:rPr>
                <w:rFonts w:ascii="Calibri" w:cs="Calibri" w:eastAsia="Calibri" w:hAnsi="Calibri"/>
                <w:b/>
                <w:bCs/>
                <w:color w:val="1F3864"/>
                <w:sz w:val="21"/>
                <w:szCs w:val="21"/>
              </w:rPr>
              <w:t xml:space="preserve">Conséquence pratique du changement</w:t>
            </w:r>
          </w:p>
          <w:p>
            <w:pPr>
              <w:spacing w:after="80" w:before="0" w:line="276"/>
            </w:pPr>
            <w:r>
              <w:rPr>
                <w:rFonts w:ascii="Calibri" w:cs="Calibri" w:eastAsia="Calibri" w:hAnsi="Calibri"/>
                <w:sz w:val="20"/>
                <w:szCs w:val="20"/>
              </w:rPr>
              <w:t xml:space="preserve">La dimension du vecteur d'empreinte change avec le modèle. Les bases existantes deviennent donc incompatibles.</w:t>
            </w:r>
          </w:p>
          <w:p>
            <w:pPr>
              <w:spacing w:after="0" w:before="0" w:line="276"/>
            </w:pPr>
            <w:r>
              <w:rPr>
                <w:rFonts w:ascii="Calibri" w:cs="Calibri" w:eastAsia="Calibri" w:hAnsi="Calibri"/>
                <w:sz w:val="20"/>
                <w:szCs w:val="20"/>
              </w:rPr>
              <w:t xml:space="preserve">Le système détecte cette incompatibilité au démarrage et purge automatiquement les enregistrements obsolètes plutôt que de produire des comparaisons erronées.</w:t>
            </w:r>
          </w:p>
        </w:tc>
      </w:tr>
    </w:tbl>
    <w:p>
      <w:pPr>
        <w:spacing w:after="0"/>
      </w:pPr>
      <w:r>
        <w:rPr>
          <w:sz w:val="18"/>
          <w:szCs w:val="18"/>
        </w:rPr>
        <w:t xml:space="preserve"/>
      </w:r>
    </w:p>
    <w:tbl>
      <w:tblPr>
        <w:tblW w:type="dxa" w:w="9360"/>
        <w:tblBorders>
          <w:top w:val="dashed" w:color="2E74B5" w:sz="8"/>
          <w:left w:val="dashed" w:color="2E74B5" w:sz="8"/>
          <w:bottom w:val="dashed" w:color="2E74B5" w:sz="8"/>
          <w:right w:val="dashed" w:color="2E74B5" w:sz="8"/>
          <w:insideH w:val="single" w:color="auto" w:sz="4"/>
          <w:insideV w:val="single" w:color="auto" w:sz="4"/>
        </w:tblBorders>
      </w:tblPr>
      <w:tblGrid>
        <w:gridCol w:w="9360"/>
      </w:tblGrid>
      <w:tr>
        <w:tc>
          <w:tcPr>
            <w:tcW w:type="dxa" w:w="9360"/>
            <w:shd w:fill="FAFCFF" w:color="auto" w:val="clear"/>
            <w:tcMar>
              <w:top w:type="dxa" w:w="240"/>
              <w:left w:type="dxa" w:w="200"/>
              <w:bottom w:type="dxa" w:w="240"/>
              <w:right w:type="dxa" w:w="200"/>
            </w:tcMar>
          </w:tcPr>
          <w:p>
            <w:pPr>
              <w:spacing w:after="0"/>
            </w:pPr>
            <w:r>
              <w:rPr>
                <w:sz w:val="18"/>
                <w:szCs w:val="18"/>
              </w:rPr>
              <w:t xml:space="preserve"/>
            </w:r>
          </w:p>
          <w:p>
            <w:pPr>
              <w:spacing w:after="0"/>
            </w:pPr>
            <w:r>
              <w:rPr>
                <w:sz w:val="18"/>
                <w:szCs w:val="18"/>
              </w:rPr>
              <w:t xml:space="preserve"/>
            </w:r>
          </w:p>
          <w:p>
            <w:pPr>
              <w:spacing w:after="100" w:before="0" w:line="276"/>
              <w:jc w:val="center"/>
            </w:pPr>
            <w:r>
              <w:rPr>
                <w:rFonts w:ascii="Calibri" w:cs="Calibri" w:eastAsia="Calibri" w:hAnsi="Calibri"/>
                <w:b/>
                <w:bCs/>
                <w:color w:val="2E74B5"/>
                <w:sz w:val="20"/>
                <w:szCs w:val="20"/>
              </w:rPr>
              <w:t xml:space="preserve">[ ESPACE RÉSERVÉ — INSÉRER LA CAPTURE D'ÉCRAN ICI ]</w:t>
            </w:r>
          </w:p>
          <w:p>
            <w:pPr>
              <w:spacing w:after="0" w:before="0" w:line="276"/>
              <w:jc w:val="center"/>
            </w:pPr>
            <w:r>
              <w:rPr>
                <w:rFonts w:ascii="Calibri" w:cs="Calibri" w:eastAsia="Calibri" w:hAnsi="Calibri"/>
                <w:i/>
                <w:iCs/>
                <w:color w:val="808080"/>
                <w:sz w:val="18"/>
                <w:szCs w:val="18"/>
              </w:rPr>
              <w:t xml:space="preserve">Suggestion : deux captures montrant le même animal reconnu sous le même nom dans deux séquences différentes.</w:t>
            </w:r>
          </w:p>
          <w:p>
            <w:pPr>
              <w:spacing w:after="0"/>
            </w:pPr>
            <w:r>
              <w:rPr>
                <w:sz w:val="18"/>
                <w:szCs w:val="18"/>
              </w:rPr>
              <w:t xml:space="preserve"/>
            </w:r>
          </w:p>
          <w:p>
            <w:pPr>
              <w:spacing w:after="0"/>
            </w:pPr>
            <w:r>
              <w:rPr>
                <w:sz w:val="18"/>
                <w:szCs w:val="18"/>
              </w:rPr>
              <w:t xml:space="preserve"/>
            </w:r>
          </w:p>
          <w:p>
            <w:pPr>
              <w:spacing w:after="0"/>
            </w:pPr>
            <w:r>
              <w:rPr>
                <w:sz w:val="18"/>
                <w:szCs w:val="18"/>
              </w:rPr>
              <w:t xml:space="preserve"/>
            </w:r>
          </w:p>
        </w:tc>
      </w:tr>
    </w:tbl>
    <w:p>
      <w:pPr>
        <w:spacing w:after="220" w:before="80" w:line="276"/>
        <w:jc w:val="center"/>
      </w:pPr>
      <w:r>
        <w:rPr>
          <w:rFonts w:ascii="Calibri" w:cs="Calibri" w:eastAsia="Calibri" w:hAnsi="Calibri"/>
          <w:i/>
          <w:iCs/>
          <w:color w:val="808080"/>
          <w:sz w:val="18"/>
          <w:szCs w:val="18"/>
        </w:rPr>
        <w:t xml:space="preserve">Figure 10 — Ré-identification d'un même bovin sur deux vidéos distinctes</w:t>
      </w:r>
    </w:p>
    <w:p>
      <w:r>
        <w:br w:type="page"/>
      </w:r>
    </w:p>
    <w:p>
      <w:pPr>
        <w:pStyle w:val="Heading1"/>
        <w:spacing w:after="180" w:before="360"/>
      </w:pPr>
      <w:r>
        <w:rPr>
          <w:rFonts w:ascii="Calibri" w:cs="Calibri" w:eastAsia="Calibri" w:hAnsi="Calibri"/>
          <w:b/>
          <w:bCs/>
          <w:color w:val="1F3864"/>
          <w:sz w:val="32"/>
          <w:szCs w:val="32"/>
        </w:rPr>
        <w:t xml:space="preserve">10. Étape 8 — Analyse comportementale : du ratio d'aspect à la posture au sol</w:t>
      </w:r>
    </w:p>
    <w:p>
      <w:pPr>
        <w:spacing w:after="120" w:before="0" w:line="276"/>
      </w:pPr>
      <w:r>
        <w:rPr>
          <w:rFonts w:ascii="Calibri" w:cs="Calibri" w:eastAsia="Calibri" w:hAnsi="Calibri"/>
          <w:sz w:val="22"/>
          <w:szCs w:val="22"/>
        </w:rPr>
        <w:t xml:space="preserve">Cette étape est la plus instructive du projet : deux approches successives ont été implémentées, testées, puis abandonnées avant qu'une troisième ne fonctionne. Le cheminement mérite d'être exposé en détail.</w:t>
      </w:r>
    </w:p>
    <w:p>
      <w:pPr>
        <w:pStyle w:val="Heading2"/>
        <w:spacing w:after="140" w:before="260"/>
      </w:pPr>
      <w:r>
        <w:rPr>
          <w:rFonts w:ascii="Calibri" w:cs="Calibri" w:eastAsia="Calibri" w:hAnsi="Calibri"/>
          <w:b/>
          <w:bCs/>
          <w:color w:val="2E74B5"/>
          <w:sz w:val="26"/>
          <w:szCs w:val="26"/>
        </w:rPr>
        <w:t xml:space="preserve">Première tentative — ratio d'aspect de la boîte englobante</w:t>
      </w:r>
    </w:p>
    <w:p>
      <w:pPr>
        <w:pStyle w:val="ListParagraph"/>
        <w:numPr>
          <w:ilvl w:val="0"/>
          <w:numId w:val="2"/>
        </w:numPr>
        <w:spacing w:after="80" w:line="276"/>
      </w:pPr>
      <w:r>
        <w:rPr>
          <w:rFonts w:ascii="Calibri" w:cs="Calibri" w:eastAsia="Calibri" w:hAnsi="Calibri"/>
          <w:b/>
          <w:bCs/>
          <w:sz w:val="22"/>
          <w:szCs w:val="22"/>
        </w:rPr>
        <w:t xml:space="preserve">Hypothèse. </w:t>
      </w:r>
      <w:r>
        <w:rPr>
          <w:rFonts w:ascii="Calibri" w:cs="Calibri" w:eastAsia="Calibri" w:hAnsi="Calibri"/>
          <w:sz w:val="22"/>
          <w:szCs w:val="22"/>
        </w:rPr>
        <w:t xml:space="preserve">Un bovin qui broute baisse la tête ; sa boîte englobante devrait donc s'allonger verticalement, et le rapport largeur sur hauteur diminuer.</w:t>
      </w:r>
    </w:p>
    <w:p>
      <w:pPr>
        <w:pStyle w:val="ListParagraph"/>
        <w:numPr>
          <w:ilvl w:val="0"/>
          <w:numId w:val="2"/>
        </w:numPr>
        <w:spacing w:after="80" w:line="276"/>
      </w:pPr>
      <w:r>
        <w:rPr>
          <w:rFonts w:ascii="Calibri" w:cs="Calibri" w:eastAsia="Calibri" w:hAnsi="Calibri"/>
          <w:b/>
          <w:bCs/>
          <w:sz w:val="22"/>
          <w:szCs w:val="22"/>
        </w:rPr>
        <w:t xml:space="preserve">Résultat. </w:t>
      </w:r>
      <w:r>
        <w:rPr>
          <w:rFonts w:ascii="Calibri" w:cs="Calibri" w:eastAsia="Calibri" w:hAnsi="Calibri"/>
          <w:sz w:val="22"/>
          <w:szCs w:val="22"/>
        </w:rPr>
        <w:t xml:space="preserve">Échec. Les animaux qui broutaient manifestement étaient étiquetés « immobile ».</w:t>
      </w:r>
    </w:p>
    <w:p>
      <w:pPr>
        <w:pStyle w:val="ListParagraph"/>
        <w:numPr>
          <w:ilvl w:val="0"/>
          <w:numId w:val="2"/>
        </w:numPr>
        <w:spacing w:after="80" w:line="276"/>
      </w:pPr>
      <w:r>
        <w:rPr>
          <w:rFonts w:ascii="Calibri" w:cs="Calibri" w:eastAsia="Calibri" w:hAnsi="Calibri"/>
          <w:b/>
          <w:bCs/>
          <w:sz w:val="22"/>
          <w:szCs w:val="22"/>
        </w:rPr>
        <w:t xml:space="preserve">Cause. </w:t>
      </w:r>
      <w:r>
        <w:rPr>
          <w:rFonts w:ascii="Calibri" w:cs="Calibri" w:eastAsia="Calibri" w:hAnsi="Calibri"/>
          <w:sz w:val="22"/>
          <w:szCs w:val="22"/>
        </w:rPr>
        <w:t xml:space="preserve">Vu de profil — le cas le plus fréquent au pâturage — le corps reste long et horizontal, et la tête descend devant l'animal. La boîte demeure large. Le rapport d'aspect est pratiquement identique à celui d'un animal debout : il ne peut pas discriminer les deux situations.</w:t>
      </w:r>
    </w:p>
    <w:p>
      <w:pPr>
        <w:pStyle w:val="Heading2"/>
        <w:spacing w:after="140" w:before="260"/>
      </w:pPr>
      <w:r>
        <w:rPr>
          <w:rFonts w:ascii="Calibri" w:cs="Calibri" w:eastAsia="Calibri" w:hAnsi="Calibri"/>
          <w:b/>
          <w:bCs/>
          <w:color w:val="2E74B5"/>
          <w:sz w:val="26"/>
          <w:szCs w:val="26"/>
        </w:rPr>
        <w:t xml:space="preserve">Deuxième tentative — répartition de la masse dans le tiers supérieur</w:t>
      </w:r>
    </w:p>
    <w:p>
      <w:pPr>
        <w:pStyle w:val="ListParagraph"/>
        <w:numPr>
          <w:ilvl w:val="0"/>
          <w:numId w:val="2"/>
        </w:numPr>
        <w:spacing w:after="80" w:line="276"/>
      </w:pPr>
      <w:r>
        <w:rPr>
          <w:rFonts w:ascii="Calibri" w:cs="Calibri" w:eastAsia="Calibri" w:hAnsi="Calibri"/>
          <w:b/>
          <w:bCs/>
          <w:sz w:val="22"/>
          <w:szCs w:val="22"/>
        </w:rPr>
        <w:t xml:space="preserve">Hypothèse. </w:t>
      </w:r>
      <w:r>
        <w:rPr>
          <w:rFonts w:ascii="Calibri" w:cs="Calibri" w:eastAsia="Calibri" w:hAnsi="Calibri"/>
          <w:sz w:val="22"/>
          <w:szCs w:val="22"/>
        </w:rPr>
        <w:t xml:space="preserve">Tête baissée, le haut de la boîte devrait contenir proportionnellement moins de masse.</w:t>
      </w:r>
    </w:p>
    <w:p>
      <w:pPr>
        <w:pStyle w:val="ListParagraph"/>
        <w:numPr>
          <w:ilvl w:val="0"/>
          <w:numId w:val="2"/>
        </w:numPr>
        <w:spacing w:after="80" w:line="276"/>
      </w:pPr>
      <w:r>
        <w:rPr>
          <w:rFonts w:ascii="Calibri" w:cs="Calibri" w:eastAsia="Calibri" w:hAnsi="Calibri"/>
          <w:b/>
          <w:bCs/>
          <w:sz w:val="22"/>
          <w:szCs w:val="22"/>
        </w:rPr>
        <w:t xml:space="preserve">Résultat. </w:t>
      </w:r>
      <w:r>
        <w:rPr>
          <w:rFonts w:ascii="Calibri" w:cs="Calibri" w:eastAsia="Calibri" w:hAnsi="Calibri"/>
          <w:sz w:val="22"/>
          <w:szCs w:val="22"/>
        </w:rPr>
        <w:t xml:space="preserve">Échec également.</w:t>
      </w:r>
    </w:p>
    <w:p>
      <w:pPr>
        <w:pStyle w:val="ListParagraph"/>
        <w:numPr>
          <w:ilvl w:val="0"/>
          <w:numId w:val="2"/>
        </w:numPr>
        <w:spacing w:after="80" w:line="276"/>
      </w:pPr>
      <w:r>
        <w:rPr>
          <w:rFonts w:ascii="Calibri" w:cs="Calibri" w:eastAsia="Calibri" w:hAnsi="Calibri"/>
          <w:b/>
          <w:bCs/>
          <w:sz w:val="22"/>
          <w:szCs w:val="22"/>
        </w:rPr>
        <w:t xml:space="preserve">Cause. </w:t>
      </w:r>
      <w:r>
        <w:rPr>
          <w:rFonts w:ascii="Calibri" w:cs="Calibri" w:eastAsia="Calibri" w:hAnsi="Calibri"/>
          <w:sz w:val="22"/>
          <w:szCs w:val="22"/>
        </w:rPr>
        <w:t xml:space="preserve">Le dos de l'animal, massif, occupe le tiers supérieur quelle que soit la position de la tête. Le signal est noyé.</w:t>
      </w:r>
    </w:p>
    <w:p>
      <w:pPr>
        <w:pStyle w:val="Heading2"/>
        <w:spacing w:after="140" w:before="260"/>
      </w:pPr>
      <w:r>
        <w:rPr>
          <w:rFonts w:ascii="Calibri" w:cs="Calibri" w:eastAsia="Calibri" w:hAnsi="Calibri"/>
          <w:b/>
          <w:bCs/>
          <w:color w:val="2E74B5"/>
          <w:sz w:val="26"/>
          <w:szCs w:val="26"/>
        </w:rPr>
        <w:t xml:space="preserve">Troisième approche — la largeur au ras du sol</w:t>
      </w:r>
    </w:p>
    <w:p>
      <w:pPr>
        <w:spacing w:after="120" w:before="0" w:line="276"/>
      </w:pPr>
      <w:r>
        <w:rPr>
          <w:rFonts w:ascii="Calibri" w:cs="Calibri" w:eastAsia="Calibri" w:hAnsi="Calibri"/>
          <w:sz w:val="22"/>
          <w:szCs w:val="22"/>
        </w:rPr>
        <w:t xml:space="preserve">Le raisonnement a été repris depuis l'observation physique plutôt que depuis une intuition géométrique. Au niveau du sol, que voit-on réellement ?</w:t>
      </w:r>
    </w:p>
    <w:p>
      <w:pPr>
        <w:pStyle w:val="ListParagraph"/>
        <w:numPr>
          <w:ilvl w:val="0"/>
          <w:numId w:val="2"/>
        </w:numPr>
        <w:spacing w:after="80" w:line="276"/>
      </w:pPr>
      <w:r>
        <w:rPr>
          <w:rFonts w:ascii="Calibri" w:cs="Calibri" w:eastAsia="Calibri" w:hAnsi="Calibri"/>
          <w:b/>
          <w:bCs/>
          <w:sz w:val="22"/>
          <w:szCs w:val="22"/>
        </w:rPr>
        <w:t xml:space="preserve">Animal debout : </w:t>
      </w:r>
      <w:r>
        <w:rPr>
          <w:rFonts w:ascii="Calibri" w:cs="Calibri" w:eastAsia="Calibri" w:hAnsi="Calibri"/>
          <w:sz w:val="22"/>
          <w:szCs w:val="22"/>
        </w:rPr>
        <w:t xml:space="preserve">uniquement des sabots. Quatre colonnes étroites, chacune représentant environ 5 % de la largeur du corps.</w:t>
      </w:r>
    </w:p>
    <w:p>
      <w:pPr>
        <w:pStyle w:val="ListParagraph"/>
        <w:numPr>
          <w:ilvl w:val="0"/>
          <w:numId w:val="2"/>
        </w:numPr>
        <w:spacing w:after="80" w:line="276"/>
      </w:pPr>
      <w:r>
        <w:rPr>
          <w:rFonts w:ascii="Calibri" w:cs="Calibri" w:eastAsia="Calibri" w:hAnsi="Calibri"/>
          <w:b/>
          <w:bCs/>
          <w:sz w:val="22"/>
          <w:szCs w:val="22"/>
        </w:rPr>
        <w:t xml:space="preserve">Animal qui broute : </w:t>
      </w:r>
      <w:r>
        <w:rPr>
          <w:rFonts w:ascii="Calibri" w:cs="Calibri" w:eastAsia="Calibri" w:hAnsi="Calibri"/>
          <w:sz w:val="22"/>
          <w:szCs w:val="22"/>
        </w:rPr>
        <w:t xml:space="preserve">le mufle est posé au sol. Un bloc plein et continu, représentant 15 à 30 % de la largeur du corps, situé à une extrémité latérale.</w:t>
      </w:r>
    </w:p>
    <w:p>
      <w:pPr>
        <w:spacing w:after="120" w:before="0" w:line="276"/>
      </w:pPr>
      <w:r>
        <w:rPr>
          <w:rFonts w:ascii="Calibri" w:cs="Calibri" w:eastAsia="Calibri" w:hAnsi="Calibri"/>
          <w:sz w:val="22"/>
          <w:szCs w:val="22"/>
        </w:rPr>
        <w:t xml:space="preserve">Le critère retenu est donc la plus longue plage horizontale continue de masque dans la bande basse de la silhouette, rapportée à la largeur de l'animal. Ce signal est indépendant de l'orientation, de la distance à la caméra et de la résolution.</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4680"/>
        <w:gridCol w:w="2340"/>
        <w:gridCol w:w="2340"/>
      </w:tblGrid>
      <w:tr>
        <w:trPr>
          <w:tblHeader/>
        </w:trPr>
        <w:tc>
          <w:tcPr>
            <w:tcW w:type="dxa" w:w="468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Situation</w:t>
            </w:r>
          </w:p>
        </w:tc>
        <w:tc>
          <w:tcPr>
            <w:tcW w:type="dxa" w:w="234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Largeur relative au sol</w:t>
            </w:r>
          </w:p>
        </w:tc>
        <w:tc>
          <w:tcPr>
            <w:tcW w:type="dxa" w:w="234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Verdict</w:t>
            </w:r>
          </w:p>
        </w:tc>
      </w:tr>
      <w:tr>
        <w:tc>
          <w:tcPr>
            <w:tcW w:type="dxa" w:w="4680"/>
            <w:tcMar>
              <w:top w:type="dxa" w:w="90"/>
              <w:left w:type="dxa" w:w="130"/>
              <w:bottom w:type="dxa" w:w="90"/>
              <w:right w:type="dxa" w:w="130"/>
            </w:tcMar>
          </w:tcPr>
          <w:p>
            <w:pPr>
              <w:spacing w:after="0" w:line="260"/>
            </w:pPr>
            <w:r>
              <w:rPr>
                <w:rFonts w:ascii="Calibri" w:cs="Calibri" w:eastAsia="Calibri" w:hAnsi="Calibri"/>
                <w:sz w:val="20"/>
                <w:szCs w:val="20"/>
              </w:rPr>
              <w:t xml:space="preserve">Animal debout — sabots seuls</w:t>
            </w:r>
          </w:p>
        </w:tc>
        <w:tc>
          <w:tcPr>
            <w:tcW w:type="dxa" w:w="2340"/>
            <w:tcMar>
              <w:top w:type="dxa" w:w="90"/>
              <w:left w:type="dxa" w:w="130"/>
              <w:bottom w:type="dxa" w:w="90"/>
              <w:right w:type="dxa" w:w="130"/>
            </w:tcMar>
          </w:tcPr>
          <w:p>
            <w:pPr>
              <w:spacing w:after="0" w:line="260"/>
            </w:pPr>
            <w:r>
              <w:rPr>
                <w:rFonts w:ascii="Calibri" w:cs="Calibri" w:eastAsia="Calibri" w:hAnsi="Calibri"/>
                <w:sz w:val="20"/>
                <w:szCs w:val="20"/>
              </w:rPr>
              <w:t xml:space="preserve">0,05</w:t>
            </w:r>
          </w:p>
        </w:tc>
        <w:tc>
          <w:tcPr>
            <w:tcW w:type="dxa" w:w="2340"/>
            <w:tcMar>
              <w:top w:type="dxa" w:w="90"/>
              <w:left w:type="dxa" w:w="130"/>
              <w:bottom w:type="dxa" w:w="90"/>
              <w:right w:type="dxa" w:w="130"/>
            </w:tcMar>
          </w:tcPr>
          <w:p>
            <w:pPr>
              <w:spacing w:after="0" w:line="260"/>
            </w:pPr>
            <w:r>
              <w:rPr>
                <w:rFonts w:ascii="Calibri" w:cs="Calibri" w:eastAsia="Calibri" w:hAnsi="Calibri"/>
                <w:sz w:val="20"/>
                <w:szCs w:val="20"/>
              </w:rPr>
              <w:t xml:space="preserve">Pas de broutage</w:t>
            </w:r>
          </w:p>
        </w:tc>
      </w:tr>
      <w:tr>
        <w:tc>
          <w:tcPr>
            <w:tcW w:type="dxa" w:w="468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Seuil de décision</w:t>
            </w:r>
          </w:p>
        </w:tc>
        <w:tc>
          <w:tcPr>
            <w:tcW w:type="dxa" w:w="234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0,13</w:t>
            </w:r>
          </w:p>
        </w:tc>
        <w:tc>
          <w:tcPr>
            <w:tcW w:type="dxa" w:w="234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w:t>
            </w:r>
          </w:p>
        </w:tc>
      </w:tr>
      <w:tr>
        <w:tc>
          <w:tcPr>
            <w:tcW w:type="dxa" w:w="4680"/>
            <w:tcMar>
              <w:top w:type="dxa" w:w="90"/>
              <w:left w:type="dxa" w:w="130"/>
              <w:bottom w:type="dxa" w:w="90"/>
              <w:right w:type="dxa" w:w="130"/>
            </w:tcMar>
          </w:tcPr>
          <w:p>
            <w:pPr>
              <w:spacing w:after="0" w:line="260"/>
            </w:pPr>
            <w:r>
              <w:rPr>
                <w:rFonts w:ascii="Calibri" w:cs="Calibri" w:eastAsia="Calibri" w:hAnsi="Calibri"/>
                <w:sz w:val="20"/>
                <w:szCs w:val="20"/>
              </w:rPr>
              <w:t xml:space="preserve">Animal qui broute — mufle au sol</w:t>
            </w:r>
          </w:p>
        </w:tc>
        <w:tc>
          <w:tcPr>
            <w:tcW w:type="dxa" w:w="2340"/>
            <w:tcMar>
              <w:top w:type="dxa" w:w="90"/>
              <w:left w:type="dxa" w:w="130"/>
              <w:bottom w:type="dxa" w:w="90"/>
              <w:right w:type="dxa" w:w="130"/>
            </w:tcMar>
          </w:tcPr>
          <w:p>
            <w:pPr>
              <w:spacing w:after="0" w:line="260"/>
            </w:pPr>
            <w:r>
              <w:rPr>
                <w:rFonts w:ascii="Calibri" w:cs="Calibri" w:eastAsia="Calibri" w:hAnsi="Calibri"/>
                <w:sz w:val="20"/>
                <w:szCs w:val="20"/>
              </w:rPr>
              <w:t xml:space="preserve">0,20</w:t>
            </w:r>
          </w:p>
        </w:tc>
        <w:tc>
          <w:tcPr>
            <w:tcW w:type="dxa" w:w="2340"/>
            <w:tcMar>
              <w:top w:type="dxa" w:w="90"/>
              <w:left w:type="dxa" w:w="130"/>
              <w:bottom w:type="dxa" w:w="90"/>
              <w:right w:type="dxa" w:w="130"/>
            </w:tcMar>
          </w:tcPr>
          <w:p>
            <w:pPr>
              <w:spacing w:after="0" w:line="260"/>
            </w:pPr>
            <w:r>
              <w:rPr>
                <w:rFonts w:ascii="Calibri" w:cs="Calibri" w:eastAsia="Calibri" w:hAnsi="Calibri"/>
                <w:sz w:val="20"/>
                <w:szCs w:val="20"/>
              </w:rPr>
              <w:t xml:space="preserve">Broutage détecté</w:t>
            </w:r>
          </w:p>
        </w:tc>
      </w:tr>
    </w:tbl>
    <w:p>
      <w:pPr>
        <w:spacing w:after="0"/>
      </w:pPr>
      <w:r>
        <w:rPr>
          <w:sz w:val="18"/>
          <w:szCs w:val="18"/>
        </w:rPr>
        <w:t xml:space="preserve"/>
      </w:r>
    </w:p>
    <w:p>
      <w:pPr>
        <w:spacing w:after="120" w:before="0" w:line="276"/>
      </w:pPr>
      <w:r>
        <w:rPr>
          <w:rFonts w:ascii="Calibri" w:cs="Calibri" w:eastAsia="Calibri" w:hAnsi="Calibri"/>
          <w:b/>
          <w:bCs/>
          <w:sz w:val="22"/>
          <w:szCs w:val="22"/>
        </w:rPr>
        <w:t xml:space="preserve">Marge de séparation mesurée : facteur 4 </w:t>
      </w:r>
      <w:r>
        <w:rPr>
          <w:rFonts w:ascii="Calibri" w:cs="Calibri" w:eastAsia="Calibri" w:hAnsi="Calibri"/>
          <w:sz w:val="22"/>
          <w:szCs w:val="22"/>
        </w:rPr>
        <w:t xml:space="preserve">entre les deux situations, ce qui rend le critère robuste.</w:t>
      </w:r>
    </w:p>
    <w:p>
      <w:pPr>
        <w:pStyle w:val="Heading2"/>
        <w:spacing w:after="140" w:before="260"/>
      </w:pPr>
      <w:r>
        <w:rPr>
          <w:rFonts w:ascii="Calibri" w:cs="Calibri" w:eastAsia="Calibri" w:hAnsi="Calibri"/>
          <w:b/>
          <w:bCs/>
          <w:color w:val="2E74B5"/>
          <w:sz w:val="26"/>
          <w:szCs w:val="26"/>
        </w:rPr>
        <w:t xml:space="preserve">Deux mécanismes de stabilisation complémentaires</w:t>
      </w:r>
    </w:p>
    <w:p>
      <w:pPr>
        <w:pStyle w:val="ListParagraph"/>
        <w:numPr>
          <w:ilvl w:val="0"/>
          <w:numId w:val="2"/>
        </w:numPr>
        <w:spacing w:after="80" w:line="276"/>
      </w:pPr>
      <w:r>
        <w:rPr>
          <w:rFonts w:ascii="Calibri" w:cs="Calibri" w:eastAsia="Calibri" w:hAnsi="Calibri"/>
          <w:b/>
          <w:bCs/>
          <w:sz w:val="22"/>
          <w:szCs w:val="22"/>
        </w:rPr>
        <w:t xml:space="preserve">Persistance temporelle. </w:t>
      </w:r>
      <w:r>
        <w:rPr>
          <w:rFonts w:ascii="Calibri" w:cs="Calibri" w:eastAsia="Calibri" w:hAnsi="Calibri"/>
          <w:sz w:val="22"/>
          <w:szCs w:val="22"/>
        </w:rPr>
        <w:t xml:space="preserve">Sur une fenêtre glissante de douze images, il faut qu'au moins la moitié soit en position tête basse pour conclure au broutage. Un artefact isolé est éliminé ; à l'inverse, une image manquée ne rompt pas un broutage établi.</w:t>
      </w:r>
    </w:p>
    <w:p>
      <w:pPr>
        <w:pStyle w:val="ListParagraph"/>
        <w:numPr>
          <w:ilvl w:val="0"/>
          <w:numId w:val="2"/>
        </w:numPr>
        <w:spacing w:after="80" w:line="276"/>
      </w:pPr>
      <w:r>
        <w:rPr>
          <w:rFonts w:ascii="Calibri" w:cs="Calibri" w:eastAsia="Calibri" w:hAnsi="Calibri"/>
          <w:b/>
          <w:bCs/>
          <w:sz w:val="22"/>
          <w:szCs w:val="22"/>
        </w:rPr>
        <w:t xml:space="preserve">Vote majoritaire sur le comportement. </w:t>
      </w:r>
      <w:r>
        <w:rPr>
          <w:rFonts w:ascii="Calibri" w:cs="Calibri" w:eastAsia="Calibri" w:hAnsi="Calibri"/>
          <w:sz w:val="22"/>
          <w:szCs w:val="22"/>
        </w:rPr>
        <w:t xml:space="preserve">L'étiquette affichée est celle qui domine sur les sept dernières images. Cela supprime les changements d'étiquette erratiques d'une image à l'autre.</w:t>
      </w:r>
    </w:p>
    <w:tbl>
      <w:tblPr>
        <w:tblW w:type="dxa" w:w="9360"/>
        <w:tblBorders>
          <w:top w:val="none"/>
          <w:left w:val="single" w:color="2E74B5" w:sz="18"/>
          <w:bottom w:val="none"/>
          <w:right w:val="none"/>
          <w:insideH w:val="none"/>
          <w:insideV w:val="none"/>
        </w:tblBorders>
      </w:tblPr>
      <w:tblGrid>
        <w:gridCol w:w="9360"/>
      </w:tblGrid>
      <w:tr>
        <w:tc>
          <w:tcPr>
            <w:tcW w:type="dxa" w:w="9360"/>
            <w:shd w:fill="F2F6FB" w:color="auto" w:val="clear"/>
            <w:tcMar>
              <w:top w:type="dxa" w:w="160"/>
              <w:left w:type="dxa" w:w="220"/>
              <w:bottom w:type="dxa" w:w="160"/>
              <w:right w:type="dxa" w:w="180"/>
            </w:tcMar>
          </w:tcPr>
          <w:p>
            <w:pPr>
              <w:spacing w:after="90" w:before="0" w:line="276"/>
            </w:pPr>
            <w:r>
              <w:rPr>
                <w:rFonts w:ascii="Calibri" w:cs="Calibri" w:eastAsia="Calibri" w:hAnsi="Calibri"/>
                <w:b/>
                <w:bCs/>
                <w:color w:val="1F3864"/>
                <w:sz w:val="21"/>
                <w:szCs w:val="21"/>
              </w:rPr>
              <w:t xml:space="preserve">Une piste ouverte pour la suite</w:t>
            </w:r>
          </w:p>
          <w:p>
            <w:pPr>
              <w:spacing w:after="80" w:before="0" w:line="276"/>
            </w:pPr>
            <w:r>
              <w:rPr>
                <w:rFonts w:ascii="Calibri" w:cs="Calibri" w:eastAsia="Calibri" w:hAnsi="Calibri"/>
                <w:sz w:val="20"/>
                <w:szCs w:val="20"/>
              </w:rPr>
              <w:t xml:space="preserve">L'amplitude du balayage latéral du mufle est déjà calculée et disponible dans le système.</w:t>
            </w:r>
          </w:p>
          <w:p>
            <w:pPr>
              <w:spacing w:after="0" w:before="0" w:line="276"/>
            </w:pPr>
            <w:r>
              <w:rPr>
                <w:rFonts w:ascii="Calibri" w:cs="Calibri" w:eastAsia="Calibri" w:hAnsi="Calibri"/>
                <w:sz w:val="20"/>
                <w:szCs w:val="20"/>
              </w:rPr>
              <w:t xml:space="preserve">Un animal qui broute déplace continûment son mufle le long du sol ; un animal qui boit ou renifle garde la tête fixe. Ce signal permettrait de distinguer ces situations, aujourd'hui confondues.</w:t>
            </w:r>
          </w:p>
        </w:tc>
      </w:tr>
    </w:tbl>
    <w:p>
      <w:pPr>
        <w:spacing w:after="0"/>
      </w:pPr>
      <w:r>
        <w:rPr>
          <w:sz w:val="18"/>
          <w:szCs w:val="18"/>
        </w:rPr>
        <w:t xml:space="preserve"/>
      </w:r>
    </w:p>
    <w:p>
      <w:pPr>
        <w:spacing w:after="120"/>
        <w:jc w:val="center"/>
      </w:pPr>
      <w:r>
        <w:drawing>
          <wp:inline xmlns:a="http://schemas.openxmlformats.org/drawingml/2006/main" xmlns:pic="http://schemas.openxmlformats.org/drawingml/2006/picture">
            <wp:extent cx="5120640" cy="5792199"/>
            <wp:docPr id="1" name="Picture 1"/>
            <wp:cNvGraphicFramePr>
              <a:graphicFrameLocks noChangeAspect="1"/>
            </wp:cNvGraphicFramePr>
            <a:graphic>
              <a:graphicData uri="http://schemas.openxmlformats.org/drawingml/2006/picture">
                <pic:pic>
                  <pic:nvPicPr>
                    <pic:cNvPr id="0" name="fig_rappel_troupeau.jpg"/>
                    <pic:cNvPicPr/>
                  </pic:nvPicPr>
                  <pic:blipFill>
                    <a:blip r:embed="rId8"/>
                    <a:stretch>
                      <a:fillRect/>
                    </a:stretch>
                  </pic:blipFill>
                  <pic:spPr>
                    <a:xfrm>
                      <a:off x="0" y="0"/>
                      <a:ext cx="5120640" cy="5792199"/>
                    </a:xfrm>
                    <a:prstGeom prst="rect"/>
                  </pic:spPr>
                </pic:pic>
              </a:graphicData>
            </a:graphic>
          </wp:inline>
        </w:drawing>
      </w:r>
    </w:p>
    <w:p>
      <w:pPr>
        <w:spacing w:after="120"/>
        <w:jc w:val="center"/>
      </w:pPr>
      <w:r>
        <w:drawing>
          <wp:inline xmlns:a="http://schemas.openxmlformats.org/drawingml/2006/main" xmlns:pic="http://schemas.openxmlformats.org/drawingml/2006/picture">
            <wp:extent cx="5669280" cy="3186480"/>
            <wp:docPr id="111" name="capture_pature.jpg"/>
            <wp:cNvGraphicFramePr>
              <a:graphicFrameLocks noChangeAspect="1"/>
            </wp:cNvGraphicFramePr>
            <a:graphic>
              <a:graphicData uri="http://schemas.openxmlformats.org/drawingml/2006/picture">
                <pic:pic>
                  <pic:nvPicPr>
                    <pic:cNvPr id="0" name="capture_pature.jpg"/>
                    <pic:cNvPicPr/>
                  </pic:nvPicPr>
                  <pic:blipFill>
                    <a:blip r:embed="rIdImg11"/>
                    <a:stretch>
                      <a:fillRect/>
                    </a:stretch>
                  </pic:blipFill>
                  <pic:spPr>
                    <a:xfrm>
                      <a:off x="0" y="0"/>
                      <a:ext cx="5669280" cy="3186480"/>
                    </a:xfrm>
                    <a:prstGeom prst="rect"/>
                  </pic:spPr>
                </pic:pic>
              </a:graphicData>
            </a:graphic>
          </wp:inline>
        </w:drawing>
      </w:r>
    </w:p>
    <w:p>
      <w:pPr>
        <w:spacing w:after="220" w:before="80" w:line="276"/>
        <w:jc w:val="center"/>
      </w:pPr>
      <w:r>
        <w:rPr>
          <w:rFonts w:ascii="Calibri" w:cs="Calibri" w:eastAsia="Calibri" w:hAnsi="Calibri"/>
          <w:i/>
          <w:iCs/>
          <w:color w:val="808080"/>
          <w:sz w:val="18"/>
          <w:szCs w:val="18"/>
        </w:rPr>
        <w:t xml:space="preserve">Figure 11 — Détection du broutage — plusieurs animaux étiquetés « pâture »</w:t>
      </w:r>
    </w:p>
    <w:p>
      <w:r>
        <w:br w:type="page"/>
      </w:r>
    </w:p>
    <w:p>
      <w:pPr>
        <w:pStyle w:val="Heading1"/>
        <w:spacing w:after="120"/>
        <w:jc w:val="left"/>
      </w:pPr>
      <w:r/>
      <w:r>
        <w:rPr>
          <w:rFonts w:ascii="Calibri" w:hAnsi="Calibri"/>
          <w:sz w:val="22"/>
        </w:rPr>
        <w:t>11. Étape 9 — Posture couchée et rappel de détection en troupeau</w:t>
      </w:r>
    </w:p>
    <w:p>
      <w:pPr>
        <w:pStyle w:val="Heading2"/>
        <w:spacing w:after="120"/>
        <w:jc w:val="left"/>
      </w:pPr>
      <w:r/>
      <w:r>
        <w:rPr>
          <w:rFonts w:ascii="Calibri" w:hAnsi="Calibri"/>
          <w:sz w:val="22"/>
        </w:rPr>
        <w:t>Les deux symptômes observés</w:t>
      </w:r>
    </w:p>
    <w:p>
      <w:pPr>
        <w:spacing w:after="120"/>
        <w:jc w:val="left"/>
      </w:pPr>
      <w:r/>
      <w:r>
        <w:rPr>
          <w:rFonts w:ascii="Calibri" w:hAnsi="Calibri"/>
          <w:sz w:val="22"/>
        </w:rPr>
        <w:t>Deux défauts distincts apparaissaient simultanément à l'écran sur les séquences de stabulation, ce qui rendait leur diagnostic confus. Ils sont pourtant indépendants et relèvent de deux couches différentes du système.</w:t>
      </w:r>
    </w:p>
    <w:p>
      <w:pPr>
        <w:pStyle w:val="ListParagraph"/>
        <w:spacing w:after="120"/>
        <w:jc w:val="left"/>
      </w:pPr>
      <w:r/>
      <w:r>
        <w:rPr>
          <w:rFonts w:ascii="Calibri" w:hAnsi="Calibri"/>
          <w:sz w:val="22"/>
        </w:rPr>
        <w:t>Un bovin manifestement couché portait l'étiquette « pâture ». L'erreur n'était pas anecdotique : sur une séquence de terrain, la totalité des images où un animal était couché produisait cette étiquette, soit un état sanitaire majeur (décubitus prolongé) rendu invisible à l'éleveur.</w:t>
      </w:r>
    </w:p>
    <w:p>
      <w:pPr>
        <w:pStyle w:val="ListParagraph"/>
        <w:spacing w:after="120"/>
        <w:jc w:val="left"/>
      </w:pPr>
      <w:r/>
      <w:r>
        <w:rPr>
          <w:rFonts w:ascii="Calibri" w:hAnsi="Calibri"/>
          <w:sz w:val="22"/>
        </w:rPr>
        <w:t>Une large part du troupeau restait non détectée, donc non nommée : les animaux d'arrière-plan n'apparaissaient tout simplement pas, et ceux qui apparaissaient portaient souvent un point d'interrogation à la place de leur nom.</w:t>
      </w:r>
    </w:p>
    <w:p>
      <w:pPr>
        <w:pStyle w:val="Heading2"/>
        <w:spacing w:after="120"/>
        <w:jc w:val="left"/>
      </w:pPr>
      <w:r/>
      <w:r>
        <w:rPr>
          <w:rFonts w:ascii="Calibri" w:hAnsi="Calibri"/>
          <w:sz w:val="22"/>
        </w:rPr>
        <w:t>Diagnostic 1 — pourquoi un bovin couché était classé « pâture »</w:t>
      </w:r>
    </w:p>
    <w:p>
      <w:pPr>
        <w:spacing w:after="120"/>
        <w:jc w:val="left"/>
      </w:pPr>
      <w:r/>
      <w:r>
        <w:rPr>
          <w:rFonts w:ascii="Calibri" w:hAnsi="Calibri"/>
          <w:sz w:val="22"/>
        </w:rPr>
        <w:t>L'étape 8 avait remplacé le ratio d'aspect par un signal de silhouette : la plus longue plage horizontale continue de masque dans la bande basse de la boîte. Un bovin debout n'y présente que des sabots (plages étroites) ; un bovin qui broute y pose son mufle (plage large). Le critère discrimine correctement ces deux cas.</w:t>
      </w:r>
    </w:p>
    <w:p>
      <w:pPr>
        <w:spacing w:after="120"/>
        <w:jc w:val="left"/>
      </w:pPr>
      <w:r/>
      <w:r>
        <w:rPr>
          <w:rFonts w:ascii="Calibri" w:hAnsi="Calibri"/>
          <w:sz w:val="22"/>
        </w:rPr>
        <w:t>Il n'avait pas été confronté au troisième. Un bovin couché pose son flanc entier au sol : sa plage continue occupe 60 à 95 % de la largeur de la boîte, soit bien au-delà du seuil du mufle. Le détecteur de tête basse se déclenchait donc à coup sûr, et l'analyseur de comportement forçait alors l'étiquette « pâture ». Autrement dit, la posture la plus éloignée du broutage était celle qui déclenchait le plus fortement son détecteur.</w:t>
      </w:r>
    </w:p>
    <w:p>
      <w:pPr>
        <w:spacing w:after="120"/>
        <w:jc w:val="center"/>
      </w:pPr>
      <w:r>
        <w:drawing>
          <wp:inline xmlns:a="http://schemas.openxmlformats.org/drawingml/2006/main" xmlns:pic="http://schemas.openxmlformats.org/drawingml/2006/picture">
            <wp:extent cx="5760720" cy="1810859"/>
            <wp:docPr id="2" name="Picture 2"/>
            <wp:cNvGraphicFramePr>
              <a:graphicFrameLocks noChangeAspect="1"/>
            </wp:cNvGraphicFramePr>
            <a:graphic>
              <a:graphicData uri="http://schemas.openxmlformats.org/drawingml/2006/picture">
                <pic:pic>
                  <pic:nvPicPr>
                    <pic:cNvPr id="0" name="fig_signal_bande_basse.png"/>
                    <pic:cNvPicPr/>
                  </pic:nvPicPr>
                  <pic:blipFill>
                    <a:blip r:embed="rId9"/>
                    <a:stretch>
                      <a:fillRect/>
                    </a:stretch>
                  </pic:blipFill>
                  <pic:spPr>
                    <a:xfrm>
                      <a:off x="0" y="0"/>
                      <a:ext cx="5760720" cy="1810859"/>
                    </a:xfrm>
                    <a:prstGeom prst="rect"/>
                  </pic:spPr>
                </pic:pic>
              </a:graphicData>
            </a:graphic>
          </wp:inline>
        </w:drawing>
      </w:r>
    </w:p>
    <w:p>
      <w:pPr>
        <w:spacing w:after="120"/>
        <w:jc w:val="center"/>
      </w:pPr>
      <w:r/>
      <w:r>
        <w:rPr>
          <w:rFonts w:ascii="Calibri" w:hAnsi="Calibri"/>
          <w:i/>
          <w:color w:val="606060"/>
          <w:sz w:val="18"/>
        </w:rPr>
        <w:t>Figure 12 — Le signal au ras du sol pour les trois postures. La bande analysée est surlignée. Debout et pâture se séparent par la plage maximale ; pâture et couché se séparent par le taux de remplissage de la bande, qu'un mufle ne peut pas saturer.</w:t>
      </w:r>
    </w:p>
    <w:p>
      <w:pPr>
        <w:pStyle w:val="Heading2"/>
        <w:spacing w:after="120"/>
        <w:jc w:val="left"/>
      </w:pPr>
      <w:r/>
      <w:r>
        <w:rPr>
          <w:rFonts w:ascii="Calibri" w:hAnsi="Calibri"/>
          <w:sz w:val="22"/>
        </w:rPr>
        <w:t>Correction 1 — un second discriminant, et une priorité explicite</w:t>
      </w:r>
    </w:p>
    <w:p>
      <w:pPr>
        <w:spacing w:after="120"/>
        <w:jc w:val="left"/>
      </w:pPr>
      <w:r/>
      <w:r>
        <w:rPr>
          <w:rFonts w:ascii="Calibri" w:hAnsi="Calibri"/>
          <w:sz w:val="22"/>
        </w:rPr>
        <w:t>La plage maximale ne suffit plus seule : on lui adjoint le taux de remplissage de la bande basse. Un mufle laisse les espaces entre-pattes vides (≈ 0,35) ; un flanc couché sature la bande (≈ 0,90). Au-delà de 0,55 de plage ET 0,50 de remplissage, la posture est déclarée couchée, et le drapeau de tête basse est explicitement remis à zéro — un animal couché ne peut pas être simultanément en train de brouter.</w:t>
      </w:r>
    </w:p>
    <w:p>
      <w:pPr>
        <w:spacing w:after="120"/>
        <w:jc w:val="left"/>
      </w:pPr>
      <w:r/>
      <w:r>
        <w:rPr>
          <w:rFonts w:ascii="Calibri" w:hAnsi="Calibri"/>
          <w:sz w:val="22"/>
        </w:rPr>
        <w:t>Un garde-fou s'est révélé indispensable : une boîte tronquée par le bord bas de l'image, ou largement masquée par un congénère, présente elle aussi une bande basse pleine, sans que l'animal soit couché — on ne voit simplement pas ses pattes. Dans ce cas le système s'abstient de conclure plutôt que de conclure à tort.</w:t>
      </w:r>
    </w:p>
    <w:p>
      <w:pPr>
        <w:spacing w:after="120"/>
        <w:jc w:val="left"/>
      </w:pPr>
      <w:r/>
      <w:r>
        <w:rPr>
          <w:rFonts w:ascii="Calibri" w:hAnsi="Calibri"/>
          <w:sz w:val="22"/>
        </w:rPr>
        <w:t>Enfin, le verdict est stabilisé par un déclencheur à hystérésis : il faut 80 % d'images en posture couchée sur la fenêtre glissante pour entrer dans l'état, mais il suffit de repasser sous 60 % pour en sortir. Avec un seuil unique, une séquence dont le taux oscille autour de la valeur de bascule change d'état à chaque image : la mesure sur une séquence de terrain relevait 159 transitions « se couche » en soixante images, ce qui rendait le journal d'événements inexploitable. L'écart entre les deux seuils absorbe ce bruit.</w:t>
      </w:r>
    </w:p>
    <w:p>
      <w:pPr>
        <w:pStyle w:val="Heading2"/>
        <w:spacing w:after="120"/>
        <w:jc w:val="left"/>
      </w:pPr>
      <w:r/>
      <w:r>
        <w:rPr>
          <w:rFonts w:ascii="Calibri" w:hAnsi="Calibri"/>
          <w:sz w:val="22"/>
        </w:rPr>
        <w:t>Diagnostic 2 — le rappel de détection est dominé par la résolution</w:t>
      </w:r>
    </w:p>
    <w:p>
      <w:pPr>
        <w:spacing w:after="120"/>
        <w:jc w:val="left"/>
      </w:pPr>
      <w:r/>
      <w:r>
        <w:rPr>
          <w:rFonts w:ascii="Calibri" w:hAnsi="Calibri"/>
          <w:sz w:val="22"/>
        </w:rPr>
        <w:t>Le second défaut ne relevait pas du comportement mais du détecteur. Les réglages en vigueur — résolution d'inférence 640 pixels, seuil de confiance 0,40 — avaient été calibrés sur des plans rapprochés de deux ou trois animaux. Sur une vue de troupeau au cornadis, un bovin d'arrière-plan mesure trente à cinquante pixels de large : après les réductions successives de résolution du réseau, il ne subsiste plus assez d'activation pour franchir le seuil.</w:t>
      </w:r>
    </w:p>
    <w:p>
      <w:pPr>
        <w:spacing w:after="120"/>
        <w:jc w:val="left"/>
      </w:pPr>
      <w:r/>
      <w:r>
        <w:rPr>
          <w:rFonts w:ascii="Calibri" w:hAnsi="Calibri"/>
          <w:sz w:val="22"/>
        </w:rPr>
        <w:t>Une campagne de mesures sur les séquences de terrain a isolé la contribution de chaque paramètre, à modèle identique (YOLO26-seg, MLX/Metal). Sur une même image de la séquence une vue de troupeau au cornadis : 3 bovins détectés à 640/0,40 ; 12 à 960/0,25 ; 18 à 1280/0,25 ; 21 à 1280/0,20. La résolution domine largement le seuil de confiance, ce qui oriente le réglage.</w:t>
      </w:r>
    </w:p>
    <w:p>
      <w:pPr>
        <w:pStyle w:val="Heading2"/>
        <w:spacing w:after="120"/>
        <w:jc w:val="left"/>
      </w:pPr>
      <w:r/>
      <w:r>
        <w:rPr>
          <w:rFonts w:ascii="Calibri" w:hAnsi="Calibri"/>
          <w:sz w:val="22"/>
        </w:rPr>
        <w:t>Correction 2 — résolution, classes acceptées et doublons</w:t>
      </w:r>
    </w:p>
    <w:p>
      <w:pPr>
        <w:pStyle w:val="ListParagraph"/>
        <w:spacing w:after="120"/>
        <w:jc w:val="left"/>
      </w:pPr>
      <w:r/>
      <w:r>
        <w:rPr>
          <w:rFonts w:ascii="Calibri" w:hAnsi="Calibri"/>
          <w:sz w:val="22"/>
        </w:rPr>
        <w:t>Résolution portée à 1280 et seuil de confiance abaissé à 0,25. Coût mesuré sur M1 Pro : environ 95 ms par image contre 30 ms, soit de l'ordre de dix images par seconde — suffisant pour de la surveillance, et réglable à chaud depuis l'interface.</w:t>
      </w:r>
    </w:p>
    <w:p>
      <w:pPr>
        <w:pStyle w:val="ListParagraph"/>
        <w:spacing w:after="120"/>
        <w:jc w:val="left"/>
      </w:pPr>
      <w:r/>
      <w:r>
        <w:rPr>
          <w:rFonts w:ascii="Calibri" w:hAnsi="Calibri"/>
          <w:sz w:val="22"/>
        </w:rPr>
        <w:t>Trois classes COCO acceptées comme bovin au lieu d'une. Le jeu COCO ne contient qu'une classe « vache », apprise sur des photos de prairie ; sur des animaux de dos, lointains ou serrés, le réseau répartit son score entre « vache », « cheval » et « mouton » sans qu'aucun ne franchisse le seuil. Ce comportement est désactivable lorsque d'autres espèces partagent réellement l'enclos.</w:t>
      </w:r>
    </w:p>
    <w:p>
      <w:pPr>
        <w:pStyle w:val="ListParagraph"/>
        <w:spacing w:after="120"/>
        <w:jc w:val="left"/>
      </w:pPr>
      <w:r/>
      <w:r>
        <w:rPr>
          <w:rFonts w:ascii="Calibri" w:hAnsi="Calibri"/>
          <w:sz w:val="22"/>
        </w:rPr>
        <w:t>Suppression des doublons imbriqués. YOLO26 est entraîné sans suppression non maximale, mais cet apprentissage est lié à la résolution d'entraînement : en montant la résolution d'inférence, un même animal ressort parfois en deux boîtes. Chacune aurait créé une identité distincte en base.</w:t>
      </w:r>
    </w:p>
    <w:p>
      <w:pPr>
        <w:pStyle w:val="ListParagraph"/>
        <w:spacing w:after="120"/>
        <w:jc w:val="left"/>
      </w:pPr>
      <w:r/>
      <w:r>
        <w:rPr>
          <w:rFonts w:ascii="Calibri" w:hAnsi="Calibri"/>
          <w:sz w:val="22"/>
        </w:rPr>
        <w:t>Association des pistes par affectation optimale globale plutôt que par appariement glouton. Dans un troupeau serré, le glouton attribuait une piste au premier bovin qui la recouvrait suffisamment, même si un autre la recouvrait mieux : les identités s'échangeaient entre voisins, et le nom suivait l'échange.</w:t>
      </w:r>
    </w:p>
    <w:p>
      <w:pPr>
        <w:spacing w:after="120"/>
        <w:jc w:val="center"/>
      </w:pPr>
      <w:r>
        <w:drawing>
          <wp:inline xmlns:a="http://schemas.openxmlformats.org/drawingml/2006/main" xmlns:pic="http://schemas.openxmlformats.org/drawingml/2006/picture">
            <wp:extent cx="5029200" cy="5688767"/>
            <wp:docPr id="3" name="Picture 3"/>
            <wp:cNvGraphicFramePr>
              <a:graphicFrameLocks noChangeAspect="1"/>
            </wp:cNvGraphicFramePr>
            <a:graphic>
              <a:graphicData uri="http://schemas.openxmlformats.org/drawingml/2006/picture">
                <pic:pic>
                  <pic:nvPicPr>
                    <pic:cNvPr id="0" name="fig_posture_couche.jpg"/>
                    <pic:cNvPicPr/>
                  </pic:nvPicPr>
                  <pic:blipFill>
                    <a:blip r:embed="rId10"/>
                    <a:stretch>
                      <a:fillRect/>
                    </a:stretch>
                  </pic:blipFill>
                  <pic:spPr>
                    <a:xfrm>
                      <a:off x="0" y="0"/>
                      <a:ext cx="5029200" cy="5688767"/>
                    </a:xfrm>
                    <a:prstGeom prst="rect"/>
                  </pic:spPr>
                </pic:pic>
              </a:graphicData>
            </a:graphic>
          </wp:inline>
        </w:drawing>
      </w:r>
    </w:p>
    <w:p>
      <w:pPr>
        <w:spacing w:after="120"/>
        <w:jc w:val="center"/>
      </w:pPr>
      <w:r/>
      <w:r>
        <w:rPr>
          <w:rFonts w:ascii="Calibri" w:hAnsi="Calibri"/>
          <w:i/>
          <w:color w:val="606060"/>
          <w:sz w:val="18"/>
        </w:rPr>
        <w:t>Figure 13 — Séquence de terrain, avant (haut) et après (bas). Avant : quatre bovins détectés, et le groupe couché au centre est soit ignoré, soit étiqueté « pâture ». Après : six bovins, et les animaux couchés sont reconnus comme tels.</w:t>
      </w:r>
    </w:p>
    <w:p>
      <w:pPr>
        <w:spacing w:after="120"/>
        <w:jc w:val="center"/>
      </w:pPr>
      <w:r>
        <w:drawing>
          <wp:inline xmlns:a="http://schemas.openxmlformats.org/drawingml/2006/main" xmlns:pic="http://schemas.openxmlformats.org/drawingml/2006/picture">
            <wp:extent cx="5029200" cy="5681424"/>
            <wp:docPr id="4" name="Picture 4"/>
            <wp:cNvGraphicFramePr>
              <a:graphicFrameLocks noChangeAspect="1"/>
            </wp:cNvGraphicFramePr>
            <a:graphic>
              <a:graphicData uri="http://schemas.openxmlformats.org/drawingml/2006/picture">
                <pic:pic>
                  <pic:nvPicPr>
                    <pic:cNvPr id="0" name="fig_rappel_grand_troupeau.jpg"/>
                    <pic:cNvPicPr/>
                  </pic:nvPicPr>
                  <pic:blipFill>
                    <a:blip r:embed="rId11"/>
                    <a:stretch>
                      <a:fillRect/>
                    </a:stretch>
                  </pic:blipFill>
                  <pic:spPr>
                    <a:xfrm>
                      <a:off x="0" y="0"/>
                      <a:ext cx="5029200" cy="5681424"/>
                    </a:xfrm>
                    <a:prstGeom prst="rect"/>
                  </pic:spPr>
                </pic:pic>
              </a:graphicData>
            </a:graphic>
          </wp:inline>
        </w:drawing>
      </w:r>
    </w:p>
    <w:p>
      <w:pPr>
        <w:spacing w:after="120"/>
        <w:jc w:val="center"/>
      </w:pPr>
      <w:r/>
      <w:r>
        <w:rPr>
          <w:rFonts w:ascii="Calibri" w:hAnsi="Calibri"/>
          <w:i/>
          <w:color w:val="606060"/>
          <w:sz w:val="18"/>
        </w:rPr>
        <w:t>Figure 14 — Séquence de troupeau distant, avant (haut) et après (bas). C'est le cas le plus défavorable à l'ancien réglage : troupeau nombreux et distant, où presque aucun animal n'était détecté.</w:t>
      </w:r>
    </w:p>
    <w:p>
      <w:pPr>
        <w:spacing w:after="120"/>
        <w:jc w:val="center"/>
      </w:pPr>
      <w:r>
        <w:drawing>
          <wp:inline xmlns:a="http://schemas.openxmlformats.org/drawingml/2006/main" xmlns:pic="http://schemas.openxmlformats.org/drawingml/2006/picture">
            <wp:extent cx="5852160" cy="2578918"/>
            <wp:docPr id="5" name="Picture 5"/>
            <wp:cNvGraphicFramePr>
              <a:graphicFrameLocks noChangeAspect="1"/>
            </wp:cNvGraphicFramePr>
            <a:graphic>
              <a:graphicData uri="http://schemas.openxmlformats.org/drawingml/2006/picture">
                <pic:pic>
                  <pic:nvPicPr>
                    <pic:cNvPr id="0" name="fig_rappel_barres.png"/>
                    <pic:cNvPicPr/>
                  </pic:nvPicPr>
                  <pic:blipFill>
                    <a:blip r:embed="rId12"/>
                    <a:stretch>
                      <a:fillRect/>
                    </a:stretch>
                  </pic:blipFill>
                  <pic:spPr>
                    <a:xfrm>
                      <a:off x="0" y="0"/>
                      <a:ext cx="5852160" cy="2578918"/>
                    </a:xfrm>
                    <a:prstGeom prst="rect"/>
                  </pic:spPr>
                </pic:pic>
              </a:graphicData>
            </a:graphic>
          </wp:inline>
        </w:drawing>
      </w:r>
    </w:p>
    <w:p>
      <w:pPr>
        <w:spacing w:after="120"/>
        <w:jc w:val="center"/>
      </w:pPr>
      <w:r/>
      <w:r>
        <w:rPr>
          <w:rFonts w:ascii="Calibri" w:hAnsi="Calibri"/>
          <w:i/>
          <w:color w:val="606060"/>
          <w:sz w:val="18"/>
        </w:rPr>
        <w:t>Figure 15 — Nombre moyen de bovins détectés par image sur neuf séquences, cent quatre-vingts images chacune. Le gain est nul quand la scène ne contient que des sujets proches, et maximal quand elle contient des animaux d'arrière-plan.</w:t>
      </w:r>
    </w:p>
    <w:p>
      <w:pPr>
        <w:pStyle w:val="Heading2"/>
        <w:spacing w:after="120"/>
        <w:jc w:val="left"/>
      </w:pPr>
      <w:r/>
      <w:r>
        <w:rPr>
          <w:rFonts w:ascii="Calibri" w:hAnsi="Calibri"/>
          <w:sz w:val="22"/>
        </w:rPr>
        <w:t>Résultats mesurés</w:t>
      </w:r>
    </w:p>
    <w:p>
      <w:pPr>
        <w:spacing w:after="120"/>
        <w:jc w:val="left"/>
      </w:pPr>
      <w:r/>
      <w:r>
        <w:rPr>
          <w:rFonts w:ascii="Calibri" w:hAnsi="Calibri"/>
          <w:sz w:val="22"/>
        </w:rPr>
        <w:t>Sur les neuf séquences évaluées, le nombre moyen de bovins détectés par image passe de 5.6 à 10.5. Les écarts individuels sont très inégaux, et c'est attendu : sur une vue de troupeau au cornadis la moyenne passe de 7.1 à 13.3 ; sur une séquence de troupeau distant, de 1.8 à 22.9. À l'inverse, sur les plans rapprochés le gain est marginal — il n'y avait rien à récupérer.</w:t>
      </w:r>
    </w:p>
    <w:p>
      <w:pPr>
        <w:spacing w:after="120"/>
        <w:jc w:val="left"/>
      </w:pPr>
      <w:r/>
      <w:r>
        <w:rPr>
          <w:rFonts w:ascii="Calibri" w:hAnsi="Calibri"/>
          <w:sz w:val="22"/>
        </w:rPr>
        <w:t>Sur le volet posture, une séquence de terrain illustre le mieux la correction. Avec l'ancienne logique, aucune image ne portait l'étiquette « couché » et 544 étiquettes « pâture » étaient émises. Avec la nouvelle, 235 images portent « couché » et les « pâture » tombent à 136, la différence correspondant aux animaux effectivement allongés.</w:t>
      </w:r>
    </w:p>
    <w:p>
      <w:pPr>
        <w:pStyle w:val="Heading2"/>
        <w:spacing w:after="120"/>
        <w:jc w:val="left"/>
      </w:pPr>
      <w:r/>
      <w:r>
        <w:rPr>
          <w:rFonts w:ascii="Calibri" w:hAnsi="Calibri"/>
          <w:sz w:val="22"/>
        </w:rPr>
        <w:t>Comportements ajoutés</w:t>
      </w:r>
    </w:p>
    <w:p>
      <w:pPr>
        <w:spacing w:after="120"/>
        <w:jc w:val="left"/>
      </w:pPr>
      <w:r/>
      <w:r>
        <w:rPr>
          <w:rFonts w:ascii="Calibri" w:hAnsi="Calibri"/>
          <w:sz w:val="22"/>
        </w:rPr>
        <w:t>La correction ouvrait la possibilité de décrire des états jusque-là absents. Quatre étiquettes s'ajoutent aux sept existantes.</w:t>
      </w:r>
    </w:p>
    <w:p>
      <w:pPr>
        <w:pStyle w:val="ListParagraph"/>
        <w:spacing w:after="120"/>
        <w:jc w:val="left"/>
      </w:pPr>
      <w:r/>
      <w:r>
        <w:rPr>
          <w:rFonts w:ascii="Calibri" w:hAnsi="Calibri"/>
          <w:sz w:val="22"/>
        </w:rPr>
        <w:t>« couché » — posture déduite du masque, désormais distincte de la pâture.</w:t>
      </w:r>
    </w:p>
    <w:p>
      <w:pPr>
        <w:pStyle w:val="ListParagraph"/>
        <w:spacing w:after="120"/>
        <w:jc w:val="left"/>
      </w:pPr>
      <w:r/>
      <w:r>
        <w:rPr>
          <w:rFonts w:ascii="Calibri" w:hAnsi="Calibri"/>
          <w:sz w:val="22"/>
        </w:rPr>
        <w:t>« se couche » et « se lève » — transitions de posture. Elles sont déduites d'un changement d'état et non d'un seuil instantané, et restent affichées environ une seconde et demie, faute de quoi le vote majoritaire les effacerait. C'est l'information la plus utile à l'éleveur : un animal qui peine à se relever est un signal sanitaire précoce.</w:t>
      </w:r>
    </w:p>
    <w:p>
      <w:pPr>
        <w:pStyle w:val="ListParagraph"/>
        <w:spacing w:after="120"/>
        <w:jc w:val="left"/>
      </w:pPr>
      <w:r/>
      <w:r>
        <w:rPr>
          <w:rFonts w:ascii="Calibri" w:hAnsi="Calibri"/>
          <w:sz w:val="22"/>
        </w:rPr>
        <w:t>« rumine » — approximation assumée. La mastication n'est pas observable à cette résolution ; l'état est inféré d'une immobilité prolongée sans mufle au sol, couché ou debout. Cette inférence supposait au préalable de corriger un défaut discret : la durée d'immobilité était calculée à partir de l'historique de positions, lui-même élagué à cinq secondes, ce qui la plafonnait mécaniquement. Aucun seuil supérieur n'était atteignable.</w:t>
      </w:r>
    </w:p>
    <w:p>
      <w:pPr>
        <w:pStyle w:val="Heading2"/>
        <w:spacing w:after="120"/>
        <w:jc w:val="left"/>
      </w:pPr>
      <w:r/>
      <w:r>
        <w:rPr>
          <w:rFonts w:ascii="Calibri" w:hAnsi="Calibri"/>
          <w:sz w:val="22"/>
        </w:rPr>
        <w:t>Deux corrections annexes, découvertes en mesurant</w:t>
      </w:r>
    </w:p>
    <w:p>
      <w:pPr>
        <w:pStyle w:val="ListParagraph"/>
        <w:spacing w:after="120"/>
        <w:jc w:val="left"/>
      </w:pPr>
      <w:r/>
      <w:r>
        <w:rPr>
          <w:rFonts w:ascii="Calibri" w:hAnsi="Calibri"/>
          <w:sz w:val="22"/>
        </w:rPr>
        <w:t>Rafales de « court » et « rué » sur des animaux immobiles. La vitesse était estimée dès trois points d'historique, soit un dixième de seconde à trente images par seconde. À cette échelle, un tremblement de boîte de 10 % de la largeur du corps produit une vitesse apparente d'une largeur de corps par seconde — exactement le seuil de la charge. Une base temporelle minimale d'une demi-seconde est désormais exigée.</w:t>
      </w:r>
    </w:p>
    <w:p>
      <w:pPr>
        <w:pStyle w:val="ListParagraph"/>
        <w:spacing w:after="120"/>
        <w:jc w:val="left"/>
      </w:pPr>
      <w:r/>
      <w:r>
        <w:rPr>
          <w:rFonts w:ascii="Calibri" w:hAnsi="Calibri"/>
          <w:sz w:val="22"/>
        </w:rPr>
        <w:t>Bovins bloqués sur « ? ». La file du calculateur d'empreintes acceptait soixante-quatre lots ; sur un troupeau nombreux elle se remplissait de vignettes périmées pendant que les nouvelles étaient rejetées. La file est maintenant courte et le lot en attente est remplacé par le plus récent — une vignette périmée n'a aucune valeur, l'animal est toujours là à l'image suivante. Les pistes encore anonymes sont en outre servies en priorité.</w:t>
      </w:r>
    </w:p>
    <w:p>
      <w:pPr>
        <w:pStyle w:val="Heading2"/>
        <w:spacing w:after="120"/>
        <w:jc w:val="left"/>
      </w:pPr>
      <w:r/>
      <w:r>
        <w:rPr>
          <w:rFonts w:ascii="Calibri" w:hAnsi="Calibri"/>
          <w:sz w:val="22"/>
        </w:rPr>
        <w:t>Répertoire de noms</w:t>
      </w:r>
    </w:p>
    <w:p>
      <w:pPr>
        <w:spacing w:after="120"/>
        <w:jc w:val="left"/>
      </w:pPr>
      <w:r/>
      <w:r>
        <w:rPr>
          <w:rFonts w:ascii="Calibri" w:hAnsi="Calibri"/>
          <w:sz w:val="22"/>
        </w:rPr>
        <w:t>Le répertoire passe de 120 à 330 noms. Au-delà du répertoire, le générateur recyclait les noms avec un indice de cycle « Daphné 2 », ambigu à l'oral comme à l'écran. La contrainte, verrouillée par un test, est que le nom d'un animal est déterminé par le rang de sa clé dans le répertoire : seuls des ajouts en fin de liste sont autorisés, sous peine de renommer rétroactivement des animaux déjà enregistrés.</w:t>
      </w:r>
    </w:p>
    <w:p>
      <w:pPr>
        <w:pStyle w:val="Heading2"/>
        <w:spacing w:after="120"/>
        <w:jc w:val="left"/>
      </w:pPr>
      <w:r/>
      <w:r>
        <w:rPr>
          <w:rFonts w:ascii="Calibri" w:hAnsi="Calibri"/>
          <w:sz w:val="22"/>
        </w:rPr>
        <w:t>Ce que cette étape ne corrige pas</w:t>
      </w:r>
    </w:p>
    <w:p>
      <w:pPr>
        <w:pStyle w:val="ListParagraph"/>
        <w:spacing w:after="120"/>
        <w:jc w:val="left"/>
      </w:pPr>
      <w:r/>
      <w:r>
        <w:rPr>
          <w:rFonts w:ascii="Calibri" w:hAnsi="Calibri"/>
          <w:sz w:val="22"/>
        </w:rPr>
        <w:t>La rumination reste une inférence indirecte, non une observation. Elle n'a pas été validée contre une vérité terrain.</w:t>
      </w:r>
    </w:p>
    <w:p>
      <w:pPr>
        <w:pStyle w:val="ListParagraph"/>
        <w:spacing w:after="120"/>
        <w:jc w:val="left"/>
      </w:pPr>
      <w:r/>
      <w:r>
        <w:rPr>
          <w:rFonts w:ascii="Calibri" w:hAnsi="Calibri"/>
          <w:sz w:val="22"/>
        </w:rPr>
        <w:t>Un bovin couché dont la silhouette fusionne durablement avec celle d'un voisin peut encore échapper à la détection de posture : le système s'abstient alors, ce qui est préférable, mais l'état n'est pas remonté.</w:t>
      </w:r>
    </w:p>
    <w:p>
      <w:pPr>
        <w:pStyle w:val="ListParagraph"/>
        <w:spacing w:after="120"/>
        <w:jc w:val="left"/>
      </w:pPr>
      <w:r/>
      <w:r>
        <w:rPr>
          <w:rFonts w:ascii="Calibri" w:hAnsi="Calibri"/>
          <w:sz w:val="22"/>
        </w:rPr>
        <w:t>Le gain de rappel est mesuré en nombre de détections, non contre un comptage manuel image par image. Il établit un gain relatif net, pas un taux de rappel absolu. Un jeu annoté reste à constituer pour cela.</w:t>
      </w:r>
    </w:p>
    <w:p>
      <w:pPr>
        <w:pStyle w:val="ListParagraph"/>
        <w:spacing w:after="120"/>
        <w:jc w:val="left"/>
      </w:pPr>
      <w:r/>
      <w:r>
        <w:rPr>
          <w:rFonts w:ascii="Calibri" w:hAnsi="Calibri"/>
          <w:sz w:val="22"/>
        </w:rPr>
        <w:t>Le triplement des classes acceptées est un compromis : il récupère des bovins mal classés au prix d'un risque de faux positif si d'autres espèces sont présentes. Le réglage est exposé.</w:t>
      </w:r>
    </w:p>
    <w:p>
      <w:pPr>
        <w:pStyle w:val="Heading1"/>
        <w:spacing w:after="180" w:before="360"/>
      </w:pPr>
      <w:r>
        <w:rPr>
          <w:rFonts w:ascii="Calibri" w:cs="Calibri" w:eastAsia="Calibri" w:hAnsi="Calibri"/>
          <w:b/>
          <w:bCs/>
          <w:color w:val="1F3864"/>
          <w:sz w:val="32"/>
          <w:szCs w:val="32"/>
        </w:rPr>
        <w:t>12. Étape 10 — Vidéos de terrain au smartphone : comptage et comportements fiabilisés</w:t>
      </w:r>
    </w:p>
    <w:p>
      <w:pPr>
        <w:spacing w:after="120"/>
        <w:jc w:val="left"/>
      </w:pPr>
      <w:r>
        <w:rPr>
          <w:rFonts w:ascii="Calibri" w:hAnsi="Calibri"/>
          <w:sz w:val="22"/>
        </w:rPr>
        <w:t xml:space="preserve">Les séquences une séquence de terrain à une séquence de terrain, filmées au téléphone et à la main, ont mis le système en difficulté sur trois points visibles à l'écran : beaucoup trop d'animaux comptés, des courses inventées, et des étiquettes qui clignotaient. Chaque défaut a été mesuré, corrigé, puis re-mesuré sur les mêmes séquences.</w:t>
      </w:r>
    </w:p>
    <w:p>
      <w:pPr>
        <w:pStyle w:val="Heading2"/>
        <w:spacing w:after="120"/>
        <w:jc w:val="left"/>
      </w:pPr>
      <w:r/>
      <w:r>
        <w:rPr>
          <w:rFonts w:ascii="Calibri" w:hAnsi="Calibri"/>
          <w:sz w:val="22"/>
        </w:rPr>
        <w:t>Problème 1 — c'est la caméra qui bouge, pas les bœufs</w:t>
      </w:r>
    </w:p>
    <w:p>
      <w:pPr>
        <w:spacing w:after="120"/>
        <w:jc w:val="left"/>
      </w:pPr>
      <w:r>
        <w:rPr>
          <w:rFonts w:ascii="Calibri" w:hAnsi="Calibri"/>
          <w:sz w:val="22"/>
        </w:rPr>
        <w:t xml:space="preserve">Sur une vidéo tenue à la main, un simple mouvement du téléphone déplace toutes les boîtes en même temps. Le système croyait alors que tous les animaux couraient : des bovins parfaitement immobiles restaient étiquetés « court » ou « rué » pendant des dizaines d'images. La correction estime le mouvement global de la caméra — la médiane des déplacements de toutes les pistes entre deux images — et le soustrait avant de calculer la vitesse de chaque animal. Un animal immobile redevient immobile, même quand la caméra tremble ou balaye la scène.</w:t>
      </w:r>
    </w:p>
    <w:p>
      <w:pPr>
        <w:pStyle w:val="Heading2"/>
        <w:spacing w:after="120"/>
        <w:jc w:val="left"/>
      </w:pPr>
      <w:r/>
      <w:r>
        <w:rPr>
          <w:rFonts w:ascii="Calibri" w:hAnsi="Calibri"/>
          <w:sz w:val="22"/>
        </w:rPr>
        <w:t>Problème 2 — des bœufs fantômes gonflaient le comptage</w:t>
      </w:r>
    </w:p>
    <w:p>
      <w:pPr>
        <w:spacing w:after="120"/>
        <w:jc w:val="left"/>
      </w:pPr>
      <w:r>
        <w:rPr>
          <w:rFonts w:ascii="Calibri" w:hAnsi="Calibri"/>
          <w:sz w:val="22"/>
        </w:rPr>
        <w:t xml:space="preserve">Chaque piste de suivi, même née d'un artefact de deux ou trois images, créait aussitôt une nouvelle identité en base. Mesure sur une séquence de terrain : 32 bovins créés pour une dizaine d'animaux réellement présents. Deux garde-fous ont été ajoutés. D'abord, une piste doit être vue au moins douze images — environ une demi-seconde — avant de pouvoir créer un nouvel animal ; en attendant, elle affiche « ? ». Ensuite, avant toute création, le système retente un rapprochement avec les animaux déjà connus, à un seuil légèrement abaissé et limité aux animaux hors champ : un bovin revu sous un autre angle est rattaché à sa fiche plutôt que dupliqué. Résultat sur la même séquence : 10 identités au lieu de 32.</w:t>
      </w:r>
    </w:p>
    <w:p>
      <w:pPr>
        <w:spacing w:after="120"/>
        <w:jc w:val="center"/>
      </w:pPr>
      <w:r>
        <w:drawing>
          <wp:inline xmlns:a="http://schemas.openxmlformats.org/drawingml/2006/main" xmlns:pic="http://schemas.openxmlformats.org/drawingml/2006/picture">
            <wp:extent cx="5669280" cy="2551176"/>
            <wp:docPr id="16" name="Picture 16"/>
            <wp:cNvGraphicFramePr>
              <a:graphicFrameLocks noChangeAspect="1"/>
            </wp:cNvGraphicFramePr>
            <a:graphic>
              <a:graphicData uri="http://schemas.openxmlformats.org/drawingml/2006/picture">
                <pic:pic>
                  <pic:nvPicPr>
                    <pic:cNvPr id="0" name="fig_identites_avant_apres.png"/>
                    <pic:cNvPicPr/>
                  </pic:nvPicPr>
                  <pic:blipFill>
                    <a:blip r:embed="rIdFig16"/>
                    <a:stretch>
                      <a:fillRect/>
                    </a:stretch>
                  </pic:blipFill>
                  <pic:spPr>
                    <a:xfrm>
                      <a:off x="0" y="0"/>
                      <a:ext cx="5669280" cy="2551176"/>
                    </a:xfrm>
                    <a:prstGeom prst="rect"/>
                  </pic:spPr>
                </pic:pic>
              </a:graphicData>
            </a:graphic>
          </wp:inline>
        </w:drawing>
      </w:r>
    </w:p>
    <w:p>
      <w:pPr>
        <w:spacing w:after="120"/>
        <w:jc w:val="center"/>
      </w:pPr>
      <w:r/>
      <w:r>
        <w:rPr>
          <w:rFonts w:ascii="Calibri" w:hAnsi="Calibri"/>
          <w:i/>
          <w:color w:val="606060"/>
          <w:sz w:val="18"/>
        </w:rPr>
        <w:t>Figure 16 — Identités créées par séquence. La barre rouge montre le sur-comptage mesuré avant correction sur une séquence de terrain ; les barres vertes, le comptage après correction, proche du nombre d'animaux réellement présents dans chaque vidéo.</w:t>
      </w:r>
    </w:p>
    <w:p>
      <w:pPr>
        <w:spacing w:after="120"/>
        <w:jc w:val="center"/>
      </w:pPr>
      <w:r>
        <w:drawing>
          <wp:inline xmlns:a="http://schemas.openxmlformats.org/drawingml/2006/main" xmlns:pic="http://schemas.openxmlformats.org/drawingml/2006/picture">
            <wp:extent cx="5669280" cy="3186480"/>
            <wp:docPr id="112" name="capture_couche.jpg"/>
            <wp:cNvGraphicFramePr>
              <a:graphicFrameLocks noChangeAspect="1"/>
            </wp:cNvGraphicFramePr>
            <a:graphic>
              <a:graphicData uri="http://schemas.openxmlformats.org/drawingml/2006/picture">
                <pic:pic>
                  <pic:nvPicPr>
                    <pic:cNvPr id="0" name="capture_couche.jpg"/>
                    <pic:cNvPicPr/>
                  </pic:nvPicPr>
                  <pic:blipFill>
                    <a:blip r:embed="rIdImg12"/>
                    <a:stretch>
                      <a:fillRect/>
                    </a:stretch>
                  </pic:blipFill>
                  <pic:spPr>
                    <a:xfrm>
                      <a:off x="0" y="0"/>
                      <a:ext cx="5669280" cy="3186480"/>
                    </a:xfrm>
                    <a:prstGeom prst="rect"/>
                  </pic:spPr>
                </pic:pic>
              </a:graphicData>
            </a:graphic>
          </wp:inline>
        </w:drawing>
      </w:r>
    </w:p>
    <w:p>
      <w:pPr>
        <w:spacing w:after="120"/>
        <w:jc w:val="center"/>
      </w:pPr>
      <w:r/>
      <w:r>
        <w:rPr>
          <w:rFonts w:ascii="Calibri" w:hAnsi="Calibri"/>
          <w:i/>
          <w:color w:val="606060"/>
          <w:sz w:val="18"/>
        </w:rPr>
        <w:t xml:space="preserve">Figure 17 — Détection de la posture couchée. « Lorenzo couché » est correctement distingué des animaux debout (« immobile ») et de ceux qui broutent (« pâture »), grâce au double critère largeur / remplissage de la bande au sol.</w:t>
      </w:r>
    </w:p>
    <w:p>
      <w:pPr>
        <w:pStyle w:val="Heading2"/>
        <w:spacing w:after="120"/>
        <w:jc w:val="left"/>
      </w:pPr>
      <w:r/>
      <w:r>
        <w:rPr>
          <w:rFonts w:ascii="Calibri" w:hAnsi="Calibri"/>
          <w:sz w:val="22"/>
        </w:rPr>
        <w:t>Problème 3 — des transitions « se couche » / « se lève » en rafale</w:t>
      </w:r>
    </w:p>
    <w:p>
      <w:pPr>
        <w:spacing w:after="120"/>
        <w:jc w:val="left"/>
      </w:pPr>
      <w:r>
        <w:rPr>
          <w:rFonts w:ascii="Calibri" w:hAnsi="Calibri"/>
          <w:sz w:val="22"/>
        </w:rPr>
        <w:t xml:space="preserve">Le verdict « couché » peut hésiter d'une image à l'autre quand la silhouette d'un animal se confond avec celle d'un voisin. Chaque hésitation redéclenchait la transition : une piste a affiché « se lève » pendant 136 images d'affilée. Un délai de réarmement de cinq secondes a été ajouté : une seule transition possible par fenêtre — un bovin ne se couche pas deux fois en cinq secondes. Les oscillations sont absorbées, les vraies transitions restent visibles.</w:t>
      </w:r>
    </w:p>
    <w:p>
      <w:pPr>
        <w:pStyle w:val="Heading2"/>
        <w:spacing w:after="120"/>
        <w:jc w:val="left"/>
      </w:pPr>
      <w:r/>
      <w:r>
        <w:rPr>
          <w:rFonts w:ascii="Calibri" w:hAnsi="Calibri"/>
          <w:sz w:val="22"/>
        </w:rPr>
        <w:t>Corrections liées à l'angle de vue</w:t>
      </w:r>
    </w:p>
    <w:p>
      <w:pPr>
        <w:spacing w:after="120"/>
        <w:jc w:val="left"/>
      </w:pPr>
      <w:r>
        <w:rPr>
          <w:rFonts w:ascii="Calibri" w:hAnsi="Calibri"/>
          <w:sz w:val="22"/>
        </w:rPr>
        <w:t xml:space="preserve">Trois erreurs venaient du même angle mort : les règles avaient été calibrées sur des vues de profil. Vu de face, la boîte d'un bovin est étroite — la largeur des épaules — et le simple balancement de tête d'une vache à l'auge suffisait à franchir le seuil de « marche » ; la vitesse est désormais rapportée à la plus grande dimension de la boîte, ce qui rend le seuil valable sous tous les angles. Une silhouette plus haute que large ne peut plus être déclarée « couché » : un bovin au sol est toujours plus large que haut, ce qui élimine les faux « couché » sur des animaux vus de face ou tête baissée. Enfin, les seuils du signal « mufle au sol » ont été resserrés — une ombre ou un sabot vu de biais ne déclenche plus « pâture » — et « boit » n'est retenu que tout en bas du cadre, là où se trouve réellement un abreuvoir au premier plan.</w:t>
      </w:r>
    </w:p>
    <w:p>
      <w:pPr>
        <w:spacing w:after="120"/>
        <w:jc w:val="center"/>
      </w:pPr>
      <w:r>
        <w:drawing>
          <wp:inline xmlns:a="http://schemas.openxmlformats.org/drawingml/2006/main" xmlns:pic="http://schemas.openxmlformats.org/drawingml/2006/picture">
            <wp:extent cx="5669280" cy="3186480"/>
            <wp:docPr id="113" name="capture_auge.jpg"/>
            <wp:cNvGraphicFramePr>
              <a:graphicFrameLocks noChangeAspect="1"/>
            </wp:cNvGraphicFramePr>
            <a:graphic>
              <a:graphicData uri="http://schemas.openxmlformats.org/drawingml/2006/picture">
                <pic:pic>
                  <pic:nvPicPr>
                    <pic:cNvPr id="0" name="capture_auge.jpg"/>
                    <pic:cNvPicPr/>
                  </pic:nvPicPr>
                  <pic:blipFill>
                    <a:blip r:embed="rIdImg13"/>
                    <a:stretch>
                      <a:fillRect/>
                    </a:stretch>
                  </pic:blipFill>
                  <pic:spPr>
                    <a:xfrm>
                      <a:off x="0" y="0"/>
                      <a:ext cx="5669280" cy="3186480"/>
                    </a:xfrm>
                    <a:prstGeom prst="rect"/>
                  </pic:spPr>
                </pic:pic>
              </a:graphicData>
            </a:graphic>
          </wp:inline>
        </w:drawing>
      </w:r>
    </w:p>
    <w:p>
      <w:pPr>
        <w:spacing w:after="120"/>
        <w:jc w:val="center"/>
      </w:pPr>
      <w:r/>
      <w:r>
        <w:rPr>
          <w:rFonts w:ascii="Calibri" w:hAnsi="Calibri"/>
          <w:i/>
          <w:color w:val="606060"/>
          <w:sz w:val="18"/>
        </w:rPr>
        <w:t xml:space="preserve">Figure 18 — Vaches à l'auge, vues de face. Après correction, elles sont étiquetées « immobile » et non plus « marche » : la vitesse est désormais rapportée à la plus grande dimension de la boîte, insensible au balancement de tête vu de face.</w:t>
      </w:r>
    </w:p>
    <w:p>
      <w:pPr>
        <w:pStyle w:val="Heading2"/>
        <w:spacing w:after="120"/>
        <w:jc w:val="left"/>
      </w:pPr>
      <w:r/>
      <w:r>
        <w:rPr>
          <w:rFonts w:ascii="Calibri" w:hAnsi="Calibri"/>
          <w:sz w:val="22"/>
        </w:rPr>
        <w:t>Ce que cette étape confirme — et la suite</w:t>
      </w:r>
    </w:p>
    <w:p>
      <w:pPr>
        <w:spacing w:after="120"/>
        <w:jc w:val="left"/>
      </w:pPr>
      <w:r>
        <w:rPr>
          <w:rFonts w:ascii="Calibri" w:hAnsi="Calibri"/>
          <w:sz w:val="22"/>
        </w:rPr>
        <w:t xml:space="preserve">Chaque correction a été validée en rejouant le pipeline complet sur les séquences de terrain, et la suite de 104 tests automatisés passe après chaque modification. Mais le constat de fond demeure : chaque nouvelle vidéo peut révéler un nouvel angle mort, et des règles géométriques ont un plafond. La prochaine étape est donc d'apprendre les postures à partir d'exemples plutôt que de les déduire par des règles : un jeu de données public de comportements bovins (CBVD-5) fournira les images, et un petit classifieur sera entraîné sur les empreintes déjà calculées par la ré-identification — un entraînement de quelques minutes sur la machine actuelle, sans annotation manuelle au départ. Les règles actuelles resteront en repli lorsque le classifieur doutera.</w:t>
      </w:r>
    </w:p>
    <w:p>
      <w:pPr>
        <w:pStyle w:val="Heading1"/>
        <w:spacing w:after="180" w:before="360"/>
      </w:pPr>
      <w:r>
        <w:rPr>
          <w:rFonts w:ascii="Calibri" w:cs="Calibri" w:eastAsia="Calibri" w:hAnsi="Calibri"/>
          <w:b/>
          <w:bCs/>
          <w:color w:val="1F3864"/>
          <w:sz w:val="32"/>
          <w:szCs w:val="32"/>
        </w:rPr>
        <w:t>13. Tableau récapitulatif des décisions</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1900"/>
        <w:gridCol w:w="2000"/>
        <w:gridCol w:w="2000"/>
        <w:gridCol w:w="3460"/>
      </w:tblGrid>
      <w:tr>
        <w:trPr>
          <w:tblHeader/>
        </w:trPr>
        <w:tc>
          <w:tcPr>
            <w:tcW w:type="dxa" w:w="190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Domaine</w:t>
            </w:r>
          </w:p>
        </w:tc>
        <w:tc>
          <w:tcPr>
            <w:tcW w:type="dxa" w:w="200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Avant</w:t>
            </w:r>
          </w:p>
        </w:tc>
        <w:tc>
          <w:tcPr>
            <w:tcW w:type="dxa" w:w="200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Après</w:t>
            </w:r>
          </w:p>
        </w:tc>
        <w:tc>
          <w:tcPr>
            <w:tcW w:type="dxa" w:w="346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Motif du changement</w:t>
            </w:r>
          </w:p>
        </w:tc>
      </w:tr>
      <w:tr>
        <w:tc>
          <w:tcPr>
            <w:tcW w:type="dxa" w:w="1900"/>
            <w:tcMar>
              <w:top w:type="dxa" w:w="90"/>
              <w:left w:type="dxa" w:w="130"/>
              <w:bottom w:type="dxa" w:w="90"/>
              <w:right w:type="dxa" w:w="130"/>
            </w:tcMar>
          </w:tcPr>
          <w:p>
            <w:pPr>
              <w:spacing w:after="0" w:line="260"/>
            </w:pPr>
            <w:r>
              <w:rPr>
                <w:rFonts w:ascii="Calibri" w:cs="Calibri" w:eastAsia="Calibri" w:hAnsi="Calibri"/>
                <w:sz w:val="20"/>
                <w:szCs w:val="20"/>
              </w:rPr>
              <w:t xml:space="preserve">Détection</w:t>
            </w:r>
          </w:p>
        </w:tc>
        <w:tc>
          <w:tcPr>
            <w:tcW w:type="dxa" w:w="2000"/>
            <w:tcMar>
              <w:top w:type="dxa" w:w="90"/>
              <w:left w:type="dxa" w:w="130"/>
              <w:bottom w:type="dxa" w:w="90"/>
              <w:right w:type="dxa" w:w="130"/>
            </w:tcMar>
          </w:tcPr>
          <w:p>
            <w:pPr>
              <w:spacing w:after="0" w:line="260"/>
            </w:pPr>
            <w:r>
              <w:rPr>
                <w:rFonts w:ascii="Calibri" w:cs="Calibri" w:eastAsia="Calibri" w:hAnsi="Calibri"/>
                <w:sz w:val="20"/>
                <w:szCs w:val="20"/>
              </w:rPr>
              <w:t xml:space="preserve">YOLOv11-n (détection)</w:t>
            </w:r>
          </w:p>
        </w:tc>
        <w:tc>
          <w:tcPr>
            <w:tcW w:type="dxa" w:w="2000"/>
            <w:tcMar>
              <w:top w:type="dxa" w:w="90"/>
              <w:left w:type="dxa" w:w="130"/>
              <w:bottom w:type="dxa" w:w="90"/>
              <w:right w:type="dxa" w:w="130"/>
            </w:tcMar>
          </w:tcPr>
          <w:p>
            <w:pPr>
              <w:spacing w:after="0" w:line="260"/>
            </w:pPr>
            <w:r>
              <w:rPr>
                <w:rFonts w:ascii="Calibri" w:cs="Calibri" w:eastAsia="Calibri" w:hAnsi="Calibri"/>
                <w:sz w:val="20"/>
                <w:szCs w:val="20"/>
              </w:rPr>
              <w:t xml:space="preserve">YOLOv11-s (segmentation)</w:t>
            </w:r>
          </w:p>
        </w:tc>
        <w:tc>
          <w:tcPr>
            <w:tcW w:type="dxa" w:w="3460"/>
            <w:tcMar>
              <w:top w:type="dxa" w:w="90"/>
              <w:left w:type="dxa" w:w="130"/>
              <w:bottom w:type="dxa" w:w="90"/>
              <w:right w:type="dxa" w:w="130"/>
            </w:tcMar>
          </w:tcPr>
          <w:p>
            <w:pPr>
              <w:spacing w:after="0" w:line="260"/>
            </w:pPr>
            <w:r>
              <w:rPr>
                <w:rFonts w:ascii="Calibri" w:cs="Calibri" w:eastAsia="Calibri" w:hAnsi="Calibri"/>
                <w:sz w:val="20"/>
                <w:szCs w:val="20"/>
              </w:rPr>
              <w:t xml:space="preserve">Le masque isole l'animal du décor et fiabilise l'empreinte de ré-identification</w:t>
            </w:r>
          </w:p>
        </w:tc>
      </w:tr>
      <w:tr>
        <w:tc>
          <w:tcPr>
            <w:tcW w:type="dxa" w:w="19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Exécution</w:t>
            </w:r>
          </w:p>
        </w:tc>
        <w:tc>
          <w:tcPr>
            <w:tcW w:type="dxa" w:w="20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YOLOv11 sur PyTorch/MPS</w:t>
            </w:r>
          </w:p>
        </w:tc>
        <w:tc>
          <w:tcPr>
            <w:tcW w:type="dxa" w:w="20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YOLOv26 sur MLX</w:t>
            </w:r>
          </w:p>
        </w:tc>
        <w:tc>
          <w:tcPr>
            <w:tcW w:type="dxa" w:w="346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Exécution native sur Metal — environ 2,6× plus rapide</w:t>
            </w:r>
          </w:p>
        </w:tc>
      </w:tr>
      <w:tr>
        <w:tc>
          <w:tcPr>
            <w:tcW w:type="dxa" w:w="1900"/>
            <w:tcMar>
              <w:top w:type="dxa" w:w="90"/>
              <w:left w:type="dxa" w:w="130"/>
              <w:bottom w:type="dxa" w:w="90"/>
              <w:right w:type="dxa" w:w="130"/>
            </w:tcMar>
          </w:tcPr>
          <w:p>
            <w:pPr>
              <w:spacing w:after="0" w:line="260"/>
            </w:pPr>
            <w:r>
              <w:rPr>
                <w:rFonts w:ascii="Calibri" w:cs="Calibri" w:eastAsia="Calibri" w:hAnsi="Calibri"/>
                <w:sz w:val="20"/>
                <w:szCs w:val="20"/>
              </w:rPr>
              <w:t xml:space="preserve">Format de modèle</w:t>
            </w:r>
          </w:p>
        </w:tc>
        <w:tc>
          <w:tcPr>
            <w:tcW w:type="dxa" w:w="2000"/>
            <w:tcMar>
              <w:top w:type="dxa" w:w="90"/>
              <w:left w:type="dxa" w:w="130"/>
              <w:bottom w:type="dxa" w:w="90"/>
              <w:right w:type="dxa" w:w="130"/>
            </w:tcMar>
          </w:tcPr>
          <w:p>
            <w:pPr>
              <w:spacing w:after="0" w:line="260"/>
            </w:pPr>
            <w:r>
              <w:rPr>
                <w:rFonts w:ascii="Calibri" w:cs="Calibri" w:eastAsia="Calibri" w:hAnsi="Calibri"/>
                <w:sz w:val="20"/>
                <w:szCs w:val="20"/>
              </w:rPr>
              <w:t xml:space="preserve">PyTorch (.pt)</w:t>
            </w:r>
          </w:p>
        </w:tc>
        <w:tc>
          <w:tcPr>
            <w:tcW w:type="dxa" w:w="2000"/>
            <w:tcMar>
              <w:top w:type="dxa" w:w="90"/>
              <w:left w:type="dxa" w:w="130"/>
              <w:bottom w:type="dxa" w:w="90"/>
              <w:right w:type="dxa" w:w="130"/>
            </w:tcMar>
          </w:tcPr>
          <w:p>
            <w:pPr>
              <w:spacing w:after="0" w:line="260"/>
            </w:pPr>
            <w:r>
              <w:rPr>
                <w:rFonts w:ascii="Calibri" w:cs="Calibri" w:eastAsia="Calibri" w:hAnsi="Calibri"/>
                <w:sz w:val="20"/>
                <w:szCs w:val="20"/>
              </w:rPr>
              <w:t xml:space="preserve">safetensors</w:t>
            </w:r>
          </w:p>
        </w:tc>
        <w:tc>
          <w:tcPr>
            <w:tcW w:type="dxa" w:w="3460"/>
            <w:tcMar>
              <w:top w:type="dxa" w:w="90"/>
              <w:left w:type="dxa" w:w="130"/>
              <w:bottom w:type="dxa" w:w="90"/>
              <w:right w:type="dxa" w:w="130"/>
            </w:tcMar>
          </w:tcPr>
          <w:p>
            <w:pPr>
              <w:spacing w:after="0" w:line="260"/>
            </w:pPr>
            <w:r>
              <w:rPr>
                <w:rFonts w:ascii="Calibri" w:cs="Calibri" w:eastAsia="Calibri" w:hAnsi="Calibri"/>
                <w:sz w:val="20"/>
                <w:szCs w:val="20"/>
              </w:rPr>
              <w:t xml:space="preserve">Sécurité du chargement et rapidité de mise en mémoire</w:t>
            </w:r>
          </w:p>
        </w:tc>
      </w:tr>
      <w:tr>
        <w:tc>
          <w:tcPr>
            <w:tcW w:type="dxa" w:w="19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Matériel</w:t>
            </w:r>
          </w:p>
        </w:tc>
        <w:tc>
          <w:tcPr>
            <w:tcW w:type="dxa" w:w="20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NVIDIA GTX 1660 Ti</w:t>
            </w:r>
          </w:p>
        </w:tc>
        <w:tc>
          <w:tcPr>
            <w:tcW w:type="dxa" w:w="20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Apple M1 Pro</w:t>
            </w:r>
          </w:p>
        </w:tc>
        <w:tc>
          <w:tcPr>
            <w:tcW w:type="dxa" w:w="346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Mémoire unifiée, absence de transferts, mobilité</w:t>
            </w:r>
          </w:p>
        </w:tc>
      </w:tr>
      <w:tr>
        <w:tc>
          <w:tcPr>
            <w:tcW w:type="dxa" w:w="1900"/>
            <w:tcMar>
              <w:top w:type="dxa" w:w="90"/>
              <w:left w:type="dxa" w:w="130"/>
              <w:bottom w:type="dxa" w:w="90"/>
              <w:right w:type="dxa" w:w="130"/>
            </w:tcMar>
          </w:tcPr>
          <w:p>
            <w:pPr>
              <w:spacing w:after="0" w:line="260"/>
            </w:pPr>
            <w:r>
              <w:rPr>
                <w:rFonts w:ascii="Calibri" w:cs="Calibri" w:eastAsia="Calibri" w:hAnsi="Calibri"/>
                <w:sz w:val="20"/>
                <w:szCs w:val="20"/>
              </w:rPr>
              <w:t xml:space="preserve">Ré-identification</w:t>
            </w:r>
          </w:p>
        </w:tc>
        <w:tc>
          <w:tcPr>
            <w:tcW w:type="dxa" w:w="2000"/>
            <w:tcMar>
              <w:top w:type="dxa" w:w="90"/>
              <w:left w:type="dxa" w:w="130"/>
              <w:bottom w:type="dxa" w:w="90"/>
              <w:right w:type="dxa" w:w="130"/>
            </w:tcMar>
          </w:tcPr>
          <w:p>
            <w:pPr>
              <w:spacing w:after="0" w:line="260"/>
            </w:pPr>
            <w:r>
              <w:rPr>
                <w:rFonts w:ascii="Calibri" w:cs="Calibri" w:eastAsia="Calibri" w:hAnsi="Calibri"/>
                <w:sz w:val="20"/>
                <w:szCs w:val="20"/>
              </w:rPr>
              <w:t xml:space="preserve">DINOv2 (généraliste)</w:t>
            </w:r>
          </w:p>
        </w:tc>
        <w:tc>
          <w:tcPr>
            <w:tcW w:type="dxa" w:w="2000"/>
            <w:tcMar>
              <w:top w:type="dxa" w:w="90"/>
              <w:left w:type="dxa" w:w="130"/>
              <w:bottom w:type="dxa" w:w="90"/>
              <w:right w:type="dxa" w:w="130"/>
            </w:tcMar>
          </w:tcPr>
          <w:p>
            <w:pPr>
              <w:spacing w:after="0" w:line="260"/>
            </w:pPr>
            <w:r>
              <w:rPr>
                <w:rFonts w:ascii="Calibri" w:cs="Calibri" w:eastAsia="Calibri" w:hAnsi="Calibri"/>
                <w:sz w:val="20"/>
                <w:szCs w:val="20"/>
              </w:rPr>
              <w:t xml:space="preserve">MegaDescriptor (spécialisé)</w:t>
            </w:r>
          </w:p>
        </w:tc>
        <w:tc>
          <w:tcPr>
            <w:tcW w:type="dxa" w:w="3460"/>
            <w:tcMar>
              <w:top w:type="dxa" w:w="90"/>
              <w:left w:type="dxa" w:w="130"/>
              <w:bottom w:type="dxa" w:w="90"/>
              <w:right w:type="dxa" w:w="130"/>
            </w:tcMar>
          </w:tcPr>
          <w:p>
            <w:pPr>
              <w:spacing w:after="0" w:line="260"/>
            </w:pPr>
            <w:r>
              <w:rPr>
                <w:rFonts w:ascii="Calibri" w:cs="Calibri" w:eastAsia="Calibri" w:hAnsi="Calibri"/>
                <w:sz w:val="20"/>
                <w:szCs w:val="20"/>
              </w:rPr>
              <w:t xml:space="preserve">Modèle entraîné spécifiquement pour la ré-identification animale</w:t>
            </w:r>
          </w:p>
        </w:tc>
      </w:tr>
      <w:tr>
        <w:tc>
          <w:tcPr>
            <w:tcW w:type="dxa" w:w="19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Race</w:t>
            </w:r>
          </w:p>
        </w:tc>
        <w:tc>
          <w:tcPr>
            <w:tcW w:type="dxa" w:w="20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Histogramme HSV</w:t>
            </w:r>
          </w:p>
        </w:tc>
        <w:tc>
          <w:tcPr>
            <w:tcW w:type="dxa" w:w="20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SigLIP-2 So400m</w:t>
            </w:r>
          </w:p>
        </w:tc>
        <w:tc>
          <w:tcPr>
            <w:tcW w:type="dxa" w:w="346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La couleur seule ne sépare pas les races fauves</w:t>
            </w:r>
          </w:p>
        </w:tc>
      </w:tr>
      <w:tr>
        <w:tc>
          <w:tcPr>
            <w:tcW w:type="dxa" w:w="1900"/>
            <w:tcMar>
              <w:top w:type="dxa" w:w="90"/>
              <w:left w:type="dxa" w:w="130"/>
              <w:bottom w:type="dxa" w:w="90"/>
              <w:right w:type="dxa" w:w="130"/>
            </w:tcMar>
          </w:tcPr>
          <w:p>
            <w:pPr>
              <w:spacing w:after="0" w:line="260"/>
            </w:pPr>
            <w:r>
              <w:rPr>
                <w:rFonts w:ascii="Calibri" w:cs="Calibri" w:eastAsia="Calibri" w:hAnsi="Calibri"/>
                <w:sz w:val="20"/>
                <w:szCs w:val="20"/>
              </w:rPr>
              <w:t xml:space="preserve">Confiance sur la race</w:t>
            </w:r>
          </w:p>
        </w:tc>
        <w:tc>
          <w:tcPr>
            <w:tcW w:type="dxa" w:w="2000"/>
            <w:tcMar>
              <w:top w:type="dxa" w:w="90"/>
              <w:left w:type="dxa" w:w="130"/>
              <w:bottom w:type="dxa" w:w="90"/>
              <w:right w:type="dxa" w:w="130"/>
            </w:tcMar>
          </w:tcPr>
          <w:p>
            <w:pPr>
              <w:spacing w:after="0" w:line="260"/>
            </w:pPr>
            <w:r>
              <w:rPr>
                <w:rFonts w:ascii="Calibri" w:cs="Calibri" w:eastAsia="Calibri" w:hAnsi="Calibri"/>
                <w:sz w:val="20"/>
                <w:szCs w:val="20"/>
              </w:rPr>
              <w:t xml:space="preserve">Meilleur score affiché</w:t>
            </w:r>
          </w:p>
        </w:tc>
        <w:tc>
          <w:tcPr>
            <w:tcW w:type="dxa" w:w="2000"/>
            <w:tcMar>
              <w:top w:type="dxa" w:w="90"/>
              <w:left w:type="dxa" w:w="130"/>
              <w:bottom w:type="dxa" w:w="90"/>
              <w:right w:type="dxa" w:w="130"/>
            </w:tcMar>
          </w:tcPr>
          <w:p>
            <w:pPr>
              <w:spacing w:after="0" w:line="260"/>
            </w:pPr>
            <w:r>
              <w:rPr>
                <w:rFonts w:ascii="Calibri" w:cs="Calibri" w:eastAsia="Calibri" w:hAnsi="Calibri"/>
                <w:sz w:val="20"/>
                <w:szCs w:val="20"/>
              </w:rPr>
              <w:t xml:space="preserve">Seuil sur la marge</w:t>
            </w:r>
          </w:p>
        </w:tc>
        <w:tc>
          <w:tcPr>
            <w:tcW w:type="dxa" w:w="3460"/>
            <w:tcMar>
              <w:top w:type="dxa" w:w="90"/>
              <w:left w:type="dxa" w:w="130"/>
              <w:bottom w:type="dxa" w:w="90"/>
              <w:right w:type="dxa" w:w="130"/>
            </w:tcMar>
          </w:tcPr>
          <w:p>
            <w:pPr>
              <w:spacing w:after="0" w:line="260"/>
            </w:pPr>
            <w:r>
              <w:rPr>
                <w:rFonts w:ascii="Calibri" w:cs="Calibri" w:eastAsia="Calibri" w:hAnsi="Calibri"/>
                <w:sz w:val="20"/>
                <w:szCs w:val="20"/>
              </w:rPr>
              <w:t xml:space="preserve">Ne rien affirmer plutôt qu'affirmer à tort</w:t>
            </w:r>
          </w:p>
        </w:tc>
      </w:tr>
      <w:tr>
        <w:tc>
          <w:tcPr>
            <w:tcW w:type="dxa" w:w="19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Broutage</w:t>
            </w:r>
          </w:p>
        </w:tc>
        <w:tc>
          <w:tcPr>
            <w:tcW w:type="dxa" w:w="20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Ratio d'aspect</w:t>
            </w:r>
          </w:p>
        </w:tc>
        <w:tc>
          <w:tcPr>
            <w:tcW w:type="dxa" w:w="20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Largeur au ras du sol</w:t>
            </w:r>
          </w:p>
        </w:tc>
        <w:tc>
          <w:tcPr>
            <w:tcW w:type="dxa" w:w="346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Le ratio d'aspect ne discrimine pas en vue de profil</w:t>
            </w:r>
          </w:p>
        </w:tc>
      </w:tr>
      <w:tr>
        <w:tc>
          <w:tcPr>
            <w:tcW w:type="dxa" w:w="1900"/>
            <w:tcMar>
              <w:top w:type="dxa" w:w="90"/>
              <w:left w:type="dxa" w:w="130"/>
              <w:bottom w:type="dxa" w:w="90"/>
              <w:right w:type="dxa" w:w="130"/>
            </w:tcMar>
          </w:tcPr>
          <w:p>
            <w:pPr>
              <w:spacing w:after="0" w:line="260"/>
            </w:pPr>
            <w:r>
              <w:rPr>
                <w:rFonts w:ascii="Calibri" w:cs="Calibri" w:eastAsia="Calibri" w:hAnsi="Calibri"/>
                <w:sz w:val="20"/>
                <w:szCs w:val="20"/>
              </w:rPr>
              <w:t xml:space="preserve">Stabilité temporelle</w:t>
            </w:r>
          </w:p>
        </w:tc>
        <w:tc>
          <w:tcPr>
            <w:tcW w:type="dxa" w:w="2000"/>
            <w:tcMar>
              <w:top w:type="dxa" w:w="90"/>
              <w:left w:type="dxa" w:w="130"/>
              <w:bottom w:type="dxa" w:w="90"/>
              <w:right w:type="dxa" w:w="130"/>
            </w:tcMar>
          </w:tcPr>
          <w:p>
            <w:pPr>
              <w:spacing w:after="0" w:line="260"/>
            </w:pPr>
            <w:r>
              <w:rPr>
                <w:rFonts w:ascii="Calibri" w:cs="Calibri" w:eastAsia="Calibri" w:hAnsi="Calibri"/>
                <w:sz w:val="20"/>
                <w:szCs w:val="20"/>
              </w:rPr>
              <w:t xml:space="preserve">Décision par image</w:t>
            </w:r>
          </w:p>
        </w:tc>
        <w:tc>
          <w:tcPr>
            <w:tcW w:type="dxa" w:w="2000"/>
            <w:tcMar>
              <w:top w:type="dxa" w:w="90"/>
              <w:left w:type="dxa" w:w="130"/>
              <w:bottom w:type="dxa" w:w="90"/>
              <w:right w:type="dxa" w:w="130"/>
            </w:tcMar>
          </w:tcPr>
          <w:p>
            <w:pPr>
              <w:spacing w:after="0" w:line="260"/>
            </w:pPr>
            <w:r>
              <w:rPr>
                <w:rFonts w:ascii="Calibri" w:cs="Calibri" w:eastAsia="Calibri" w:hAnsi="Calibri"/>
                <w:sz w:val="20"/>
                <w:szCs w:val="20"/>
              </w:rPr>
              <w:t xml:space="preserve">Fenêtre glissante</w:t>
            </w:r>
          </w:p>
        </w:tc>
        <w:tc>
          <w:tcPr>
            <w:tcW w:type="dxa" w:w="3460"/>
            <w:tcMar>
              <w:top w:type="dxa" w:w="90"/>
              <w:left w:type="dxa" w:w="130"/>
              <w:bottom w:type="dxa" w:w="90"/>
              <w:right w:type="dxa" w:w="130"/>
            </w:tcMar>
          </w:tcPr>
          <w:p>
            <w:pPr>
              <w:spacing w:after="0" w:line="260"/>
            </w:pPr>
            <w:r>
              <w:rPr>
                <w:rFonts w:ascii="Calibri" w:cs="Calibri" w:eastAsia="Calibri" w:hAnsi="Calibri"/>
                <w:sz w:val="20"/>
                <w:szCs w:val="20"/>
              </w:rPr>
              <w:t xml:space="preserve">Suppression des changements d'étiquette erratiques</w:t>
            </w:r>
          </w:p>
        </w:tc>
      </w:tr>
      <w:tr>
        <w:tc>
          <w:tcPr>
            <w:tcW w:type="dxa" w:w="19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Persistance</w:t>
            </w:r>
          </w:p>
        </w:tc>
        <w:tc>
          <w:tcPr>
            <w:tcW w:type="dxa" w:w="20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Base unique</w:t>
            </w:r>
          </w:p>
        </w:tc>
        <w:tc>
          <w:tcPr>
            <w:tcW w:type="dxa" w:w="20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Base par vidéo</w:t>
            </w:r>
          </w:p>
        </w:tc>
        <w:tc>
          <w:tcPr>
            <w:tcW w:type="dxa" w:w="346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Restitution exacte des individus et de leurs noms au retour sur une vidéo</w:t>
            </w:r>
          </w:p>
        </w:tc>
      </w:tr>
    </w:tbl>
    <w:p>
      <w:r>
        <w:br w:type="page"/>
      </w:r>
    </w:p>
    <w:p>
      <w:pPr>
        <w:pStyle w:val="Heading1"/>
        <w:spacing w:after="180" w:before="360"/>
      </w:pPr>
      <w:r>
        <w:rPr>
          <w:rFonts w:ascii="Calibri" w:cs="Calibri" w:eastAsia="Calibri" w:hAnsi="Calibri"/>
          <w:b/>
          <w:bCs/>
          <w:color w:val="1F3864"/>
          <w:sz w:val="32"/>
          <w:szCs w:val="32"/>
        </w:rPr>
        <w:t>14. Limites connues et honnêteté scientifique</w:t>
      </w:r>
    </w:p>
    <w:p>
      <w:pPr>
        <w:spacing w:after="120" w:before="0" w:line="276"/>
      </w:pPr>
      <w:r>
        <w:rPr>
          <w:rFonts w:ascii="Calibri" w:cs="Calibri" w:eastAsia="Calibri" w:hAnsi="Calibri"/>
          <w:sz w:val="22"/>
          <w:szCs w:val="22"/>
        </w:rPr>
        <w:t xml:space="preserve">Les limites suivantes sont énoncées volontairement. Elles délimitent le domaine de validité du système et orientent les développements à venir.</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2900"/>
        <w:gridCol w:w="3230"/>
        <w:gridCol w:w="3230"/>
      </w:tblGrid>
      <w:tr>
        <w:trPr>
          <w:tblHeader/>
        </w:trPr>
        <w:tc>
          <w:tcPr>
            <w:tcW w:type="dxa" w:w="290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Limite</w:t>
            </w:r>
          </w:p>
        </w:tc>
        <w:tc>
          <w:tcPr>
            <w:tcW w:type="dxa" w:w="323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Origine</w:t>
            </w:r>
          </w:p>
        </w:tc>
        <w:tc>
          <w:tcPr>
            <w:tcW w:type="dxa" w:w="3230"/>
            <w:shd w:fill="1F3864" w:color="auto" w:val="clear"/>
            <w:tcMar>
              <w:top w:type="dxa" w:w="100"/>
              <w:left w:type="dxa" w:w="130"/>
              <w:bottom w:type="dxa" w:w="100"/>
              <w:right w:type="dxa" w:w="130"/>
            </w:tcMar>
          </w:tcPr>
          <w:p>
            <w:pPr>
              <w:spacing w:after="0"/>
            </w:pPr>
            <w:r>
              <w:rPr>
                <w:rFonts w:ascii="Calibri" w:cs="Calibri" w:eastAsia="Calibri" w:hAnsi="Calibri"/>
                <w:b/>
                <w:bCs/>
                <w:color w:val="FFFFFF"/>
                <w:sz w:val="20"/>
                <w:szCs w:val="20"/>
              </w:rPr>
              <w:t xml:space="preserve">Portée réelle</w:t>
            </w:r>
          </w:p>
        </w:tc>
      </w:tr>
      <w:tr>
        <w:tc>
          <w:tcPr>
            <w:tcW w:type="dxa" w:w="2900"/>
            <w:tcMar>
              <w:top w:type="dxa" w:w="90"/>
              <w:left w:type="dxa" w:w="130"/>
              <w:bottom w:type="dxa" w:w="90"/>
              <w:right w:type="dxa" w:w="130"/>
            </w:tcMar>
          </w:tcPr>
          <w:p>
            <w:pPr>
              <w:spacing w:after="0" w:line="260"/>
            </w:pPr>
            <w:r>
              <w:rPr>
                <w:rFonts w:ascii="Calibri" w:cs="Calibri" w:eastAsia="Calibri" w:hAnsi="Calibri"/>
                <w:sz w:val="20"/>
                <w:szCs w:val="20"/>
              </w:rPr>
              <w:t xml:space="preserve">Faux positifs inter-espèces</w:t>
            </w:r>
          </w:p>
        </w:tc>
        <w:tc>
          <w:tcPr>
            <w:tcW w:type="dxa" w:w="3230"/>
            <w:tcMar>
              <w:top w:type="dxa" w:w="90"/>
              <w:left w:type="dxa" w:w="130"/>
              <w:bottom w:type="dxa" w:w="90"/>
              <w:right w:type="dxa" w:w="130"/>
            </w:tcMar>
          </w:tcPr>
          <w:p>
            <w:pPr>
              <w:spacing w:after="0" w:line="260"/>
            </w:pPr>
            <w:r>
              <w:rPr>
                <w:rFonts w:ascii="Calibri" w:cs="Calibri" w:eastAsia="Calibri" w:hAnsi="Calibri"/>
                <w:sz w:val="20"/>
                <w:szCs w:val="20"/>
              </w:rPr>
              <w:t xml:space="preserve">Classe générique issue de COCO, sans spécialisation sur nos bovins</w:t>
            </w:r>
          </w:p>
        </w:tc>
        <w:tc>
          <w:tcPr>
            <w:tcW w:type="dxa" w:w="3230"/>
            <w:tcMar>
              <w:top w:type="dxa" w:w="90"/>
              <w:left w:type="dxa" w:w="130"/>
              <w:bottom w:type="dxa" w:w="90"/>
              <w:right w:type="dxa" w:w="130"/>
            </w:tcMar>
          </w:tcPr>
          <w:p>
            <w:pPr>
              <w:spacing w:after="0" w:line="260"/>
            </w:pPr>
            <w:r>
              <w:rPr>
                <w:rFonts w:ascii="Calibri" w:cs="Calibri" w:eastAsia="Calibri" w:hAnsi="Calibri"/>
                <w:sz w:val="20"/>
                <w:szCs w:val="20"/>
              </w:rPr>
              <w:t xml:space="preserve">Faible en exploitation réelle : une caméra fixe sur parcelle d'élevage ne voit pas d'autres espèces massives</w:t>
            </w:r>
          </w:p>
        </w:tc>
      </w:tr>
      <w:tr>
        <w:tc>
          <w:tcPr>
            <w:tcW w:type="dxa" w:w="29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Race non garantie</w:t>
            </w:r>
          </w:p>
        </w:tc>
        <w:tc>
          <w:tcPr>
            <w:tcW w:type="dxa" w:w="323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Classification sans exemple d'entraînement sur des races visuellement proches</w:t>
            </w:r>
          </w:p>
        </w:tc>
        <w:tc>
          <w:tcPr>
            <w:tcW w:type="dxa" w:w="323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Maîtrisée par le seuil de confiance : le système déclare son incertitude</w:t>
            </w:r>
          </w:p>
        </w:tc>
      </w:tr>
      <w:tr>
        <w:tc>
          <w:tcPr>
            <w:tcW w:type="dxa" w:w="2900"/>
            <w:tcMar>
              <w:top w:type="dxa" w:w="90"/>
              <w:left w:type="dxa" w:w="130"/>
              <w:bottom w:type="dxa" w:w="90"/>
              <w:right w:type="dxa" w:w="130"/>
            </w:tcMar>
          </w:tcPr>
          <w:p>
            <w:pPr>
              <w:spacing w:after="0" w:line="260"/>
            </w:pPr>
            <w:r>
              <w:rPr>
                <w:rFonts w:ascii="Calibri" w:cs="Calibri" w:eastAsia="Calibri" w:hAnsi="Calibri"/>
                <w:sz w:val="20"/>
                <w:szCs w:val="20"/>
              </w:rPr>
              <w:t xml:space="preserve">Ré-identification non spécialisée</w:t>
            </w:r>
          </w:p>
        </w:tc>
        <w:tc>
          <w:tcPr>
            <w:tcW w:type="dxa" w:w="3230"/>
            <w:tcMar>
              <w:top w:type="dxa" w:w="90"/>
              <w:left w:type="dxa" w:w="130"/>
              <w:bottom w:type="dxa" w:w="90"/>
              <w:right w:type="dxa" w:w="130"/>
            </w:tcMar>
          </w:tcPr>
          <w:p>
            <w:pPr>
              <w:spacing w:after="0" w:line="260"/>
            </w:pPr>
            <w:r>
              <w:rPr>
                <w:rFonts w:ascii="Calibri" w:cs="Calibri" w:eastAsia="Calibri" w:hAnsi="Calibri"/>
                <w:sz w:val="20"/>
                <w:szCs w:val="20"/>
              </w:rPr>
              <w:t xml:space="preserve">Aucun ajustement fin sur nos propres animaux</w:t>
            </w:r>
          </w:p>
        </w:tc>
        <w:tc>
          <w:tcPr>
            <w:tcW w:type="dxa" w:w="3230"/>
            <w:tcMar>
              <w:top w:type="dxa" w:w="90"/>
              <w:left w:type="dxa" w:w="130"/>
              <w:bottom w:type="dxa" w:w="90"/>
              <w:right w:type="dxa" w:w="130"/>
            </w:tcMar>
          </w:tcPr>
          <w:p>
            <w:pPr>
              <w:spacing w:after="0" w:line="260"/>
            </w:pPr>
            <w:r>
              <w:rPr>
                <w:rFonts w:ascii="Calibri" w:cs="Calibri" w:eastAsia="Calibri" w:hAnsi="Calibri"/>
                <w:sz w:val="20"/>
                <w:szCs w:val="20"/>
              </w:rPr>
              <w:t xml:space="preserve">Fonctionne sur des troupeaux de taille modérée ; la confusion croît avec l'effectif</w:t>
            </w:r>
          </w:p>
        </w:tc>
      </w:tr>
      <w:tr>
        <w:tc>
          <w:tcPr>
            <w:tcW w:type="dxa" w:w="290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Absence de biométrie du mufle</w:t>
            </w:r>
          </w:p>
        </w:tc>
        <w:tc>
          <w:tcPr>
            <w:tcW w:type="dxa" w:w="323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Non implémentée à ce jour</w:t>
            </w:r>
          </w:p>
        </w:tc>
        <w:tc>
          <w:tcPr>
            <w:tcW w:type="dxa" w:w="3230"/>
            <w:shd w:fill="F2F6FB" w:color="auto" w:val="clear"/>
            <w:tcMar>
              <w:top w:type="dxa" w:w="90"/>
              <w:left w:type="dxa" w:w="130"/>
              <w:bottom w:type="dxa" w:w="90"/>
              <w:right w:type="dxa" w:w="130"/>
            </w:tcMar>
          </w:tcPr>
          <w:p>
            <w:pPr>
              <w:spacing w:after="0" w:line="260"/>
            </w:pPr>
            <w:r>
              <w:rPr>
                <w:rFonts w:ascii="Calibri" w:cs="Calibri" w:eastAsia="Calibri" w:hAnsi="Calibri"/>
                <w:sz w:val="20"/>
                <w:szCs w:val="20"/>
              </w:rPr>
              <w:t xml:space="preserve">C'est la voie identifiée pour dépasser durablement le niveau de précision actuel</w:t>
            </w:r>
          </w:p>
        </w:tc>
      </w:tr>
      <w:tr>
        <w:tc>
          <w:tcPr>
            <w:tcW w:type="dxa" w:w="2900"/>
            <w:tcMar>
              <w:top w:type="dxa" w:w="90"/>
              <w:left w:type="dxa" w:w="130"/>
              <w:bottom w:type="dxa" w:w="90"/>
              <w:right w:type="dxa" w:w="130"/>
            </w:tcMar>
          </w:tcPr>
          <w:p>
            <w:pPr>
              <w:spacing w:after="0" w:line="260"/>
            </w:pPr>
            <w:r>
              <w:rPr>
                <w:rFonts w:ascii="Calibri" w:cs="Calibri" w:eastAsia="Calibri" w:hAnsi="Calibri"/>
                <w:sz w:val="20"/>
                <w:szCs w:val="20"/>
              </w:rPr>
              <w:t xml:space="preserve">Comportements confondus</w:t>
            </w:r>
          </w:p>
        </w:tc>
        <w:tc>
          <w:tcPr>
            <w:tcW w:type="dxa" w:w="3230"/>
            <w:tcMar>
              <w:top w:type="dxa" w:w="90"/>
              <w:left w:type="dxa" w:w="130"/>
              <w:bottom w:type="dxa" w:w="90"/>
              <w:right w:type="dxa" w:w="130"/>
            </w:tcMar>
          </w:tcPr>
          <w:p>
            <w:pPr>
              <w:spacing w:after="0" w:line="260"/>
            </w:pPr>
            <w:r>
              <w:rPr>
                <w:rFonts w:ascii="Calibri" w:cs="Calibri" w:eastAsia="Calibri" w:hAnsi="Calibri"/>
                <w:sz w:val="20"/>
                <w:szCs w:val="20"/>
              </w:rPr>
              <w:t xml:space="preserve">Boire et brouter présentent la même posture tête basse</w:t>
            </w:r>
          </w:p>
        </w:tc>
        <w:tc>
          <w:tcPr>
            <w:tcW w:type="dxa" w:w="3230"/>
            <w:tcMar>
              <w:top w:type="dxa" w:w="90"/>
              <w:left w:type="dxa" w:w="130"/>
              <w:bottom w:type="dxa" w:w="90"/>
              <w:right w:type="dxa" w:w="130"/>
            </w:tcMar>
          </w:tcPr>
          <w:p>
            <w:pPr>
              <w:spacing w:after="0" w:line="260"/>
            </w:pPr>
            <w:r>
              <w:rPr>
                <w:rFonts w:ascii="Calibri" w:cs="Calibri" w:eastAsia="Calibri" w:hAnsi="Calibri"/>
                <w:sz w:val="20"/>
                <w:szCs w:val="20"/>
              </w:rPr>
              <w:t xml:space="preserve">Le balayage latéral du mufle, déjà mesuré, permettrait de les séparer</w:t>
            </w:r>
          </w:p>
        </w:tc>
      </w:tr>
    </w:tbl>
    <w:p>
      <w:pPr>
        <w:pStyle w:val="Heading1"/>
        <w:spacing w:after="180" w:before="360"/>
      </w:pPr>
      <w:r>
        <w:rPr>
          <w:rFonts w:ascii="Calibri" w:cs="Calibri" w:eastAsia="Calibri" w:hAnsi="Calibri"/>
          <w:b/>
          <w:bCs/>
          <w:color w:val="1F3864"/>
          <w:sz w:val="32"/>
          <w:szCs w:val="32"/>
        </w:rPr>
        <w:t>15. Perspectives</w:t>
      </w:r>
    </w:p>
    <w:p>
      <w:pPr>
        <w:spacing w:after="120" w:before="0" w:line="276"/>
      </w:pPr>
      <w:r>
        <w:rPr>
          <w:rFonts w:ascii="Calibri" w:cs="Calibri" w:eastAsia="Calibri" w:hAnsi="Calibri"/>
          <w:sz w:val="22"/>
          <w:szCs w:val="22"/>
        </w:rPr>
        <w:t xml:space="preserve">Trois axes se dégagent, classés par rapport entre effort requis et gain attendu.</w:t>
      </w:r>
    </w:p>
    <w:p>
      <w:pPr>
        <w:pStyle w:val="Heading2"/>
        <w:spacing w:after="140" w:before="260"/>
      </w:pPr>
      <w:r>
        <w:rPr>
          <w:rFonts w:ascii="Calibri" w:cs="Calibri" w:eastAsia="Calibri" w:hAnsi="Calibri"/>
          <w:b/>
          <w:bCs/>
          <w:color w:val="2E74B5"/>
          <w:sz w:val="26"/>
          <w:szCs w:val="26"/>
        </w:rPr>
        <w:t xml:space="preserve">Axe 1 — Biométrie du mufle</w:t>
      </w:r>
    </w:p>
    <w:p>
      <w:pPr>
        <w:spacing w:after="120" w:before="0" w:line="276"/>
      </w:pPr>
      <w:r>
        <w:rPr>
          <w:rFonts w:ascii="Calibri" w:cs="Calibri" w:eastAsia="Calibri" w:hAnsi="Calibri"/>
          <w:sz w:val="22"/>
          <w:szCs w:val="22"/>
        </w:rPr>
        <w:t xml:space="preserve">Le mufle joue chez les bovins le rôle de l'empreinte digitale chez l'humain. La littérature récente rapporte des taux d'identification supérieurs à 98 % sur cette seule modalité. L'approche consisterait à détecter la zone du mufle sur la tête déjà segmentée, à en calculer une empreinte dédiée, puis à la fusionner avec l'empreinte corporelle existante — avec repli silencieux lorsque le mufle n'est pas visible.</w:t>
      </w:r>
    </w:p>
    <w:p>
      <w:pPr>
        <w:pStyle w:val="Heading2"/>
        <w:spacing w:after="140" w:before="260"/>
      </w:pPr>
      <w:r>
        <w:rPr>
          <w:rFonts w:ascii="Calibri" w:cs="Calibri" w:eastAsia="Calibri" w:hAnsi="Calibri"/>
          <w:b/>
          <w:bCs/>
          <w:color w:val="2E74B5"/>
          <w:sz w:val="26"/>
          <w:szCs w:val="26"/>
        </w:rPr>
        <w:t xml:space="preserve">Axe 2 — Spécialisation du détecteur</w:t>
      </w:r>
    </w:p>
    <w:p>
      <w:pPr>
        <w:spacing w:after="120" w:before="0" w:line="276"/>
      </w:pPr>
      <w:r>
        <w:rPr>
          <w:rFonts w:ascii="Calibri" w:cs="Calibri" w:eastAsia="Calibri" w:hAnsi="Calibri"/>
          <w:sz w:val="22"/>
          <w:szCs w:val="22"/>
        </w:rPr>
        <w:t xml:space="preserve">Ajuster finement YOLO sur un jeu d'images annotées de nos propres bovins éliminerait les faux positifs inter-espèces et améliorerait la détection en conditions difficiles : animaux partiellement masqués, éloignés, ou en contre-jour.</w:t>
      </w:r>
    </w:p>
    <w:p>
      <w:pPr>
        <w:pStyle w:val="Heading2"/>
        <w:spacing w:after="140" w:before="260"/>
      </w:pPr>
      <w:r>
        <w:rPr>
          <w:rFonts w:ascii="Calibri" w:cs="Calibri" w:eastAsia="Calibri" w:hAnsi="Calibri"/>
          <w:b/>
          <w:bCs/>
          <w:color w:val="2E74B5"/>
          <w:sz w:val="26"/>
          <w:szCs w:val="26"/>
        </w:rPr>
        <w:t xml:space="preserve">Axe 3 — Refonte de la couche de persistance</w:t>
      </w:r>
    </w:p>
    <w:p>
      <w:pPr>
        <w:spacing w:after="120" w:before="0" w:line="276"/>
      </w:pPr>
      <w:r>
        <w:rPr>
          <w:rFonts w:ascii="Calibri" w:cs="Calibri" w:eastAsia="Calibri" w:hAnsi="Calibri"/>
          <w:sz w:val="22"/>
          <w:szCs w:val="22"/>
        </w:rPr>
        <w:t xml:space="preserve">Le stockage par sérialisation binaire convient à l'échelle actuelle mais ne permet ni requête, ni accès concurrent, ni migration aisée. Une base relationnelle légère constituerait une amélioration immédiate ; au-delà de quelques milliers d'individus, un index de recherche vectorielle deviendrait nécessaire.</w:t>
      </w:r>
    </w:p>
    <w:p>
      <w:pPr>
        <w:spacing w:after="0"/>
      </w:pPr>
      <w:r>
        <w:rPr>
          <w:sz w:val="18"/>
          <w:szCs w:val="18"/>
        </w:rPr>
        <w:t xml:space="preserve"/>
      </w:r>
    </w:p>
    <w:p>
      <w:pPr>
        <w:spacing w:after="0"/>
      </w:pPr>
      <w:r>
        <w:rPr>
          <w:sz w:val="18"/>
          <w:szCs w:val="18"/>
        </w:rPr>
        <w:t xml:space="preserve"/>
      </w:r>
    </w:p>
    <w:p>
      <w:pPr>
        <w:pBdr>
          <w:top w:val="single" w:color="2E74B5" w:sz="8" w:space="8"/>
        </w:pBdr>
        <w:spacing w:after="200" w:before="200"/>
      </w:pPr>
      <w:r>
        <w:rPr>
          <w:sz w:val="18"/>
          <w:szCs w:val="18"/>
        </w:rPr>
        <w:t xml:space="preserve"/>
      </w:r>
    </w:p>
    <w:p>
      <w:pPr>
        <w:spacing w:after="120" w:before="0" w:line="276"/>
        <w:jc w:val="center"/>
      </w:pPr>
      <w:r>
        <w:rPr>
          <w:rFonts w:ascii="Calibri" w:cs="Calibri" w:eastAsia="Calibri" w:hAnsi="Calibri"/>
          <w:i/>
          <w:iCs/>
          <w:color w:val="808080"/>
          <w:sz w:val="19"/>
          <w:szCs w:val="19"/>
        </w:rPr>
        <w:t xml:space="preserve">Document généré pour accompagner la présentation du projet Boeuf Tracker. Les espaces réservés aux figures sont à compléter avec les captures d'écran illustrant chaque étape.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jpg"/><Relationship Id="rId9" Type="http://schemas.openxmlformats.org/officeDocument/2006/relationships/image" Target="media/image2.png"/><Relationship Id="rId10" Type="http://schemas.openxmlformats.org/officeDocument/2006/relationships/image" Target="media/image3.jpg"/><Relationship Id="rId11" Type="http://schemas.openxmlformats.org/officeDocument/2006/relationships/image" Target="media/image4.jpg"/><Relationship Id="rId12" Type="http://schemas.openxmlformats.org/officeDocument/2006/relationships/image" Target="media/image5.png"/><Relationship Id="rIdFig16" Type="http://schemas.openxmlformats.org/officeDocument/2006/relationships/image" Target="media/image6.png"/><Relationship Id="rIdImg7" Type="http://schemas.openxmlformats.org/officeDocument/2006/relationships/image" Target="media/image7.jpg"/><Relationship Id="rIdImg8" Type="http://schemas.openxmlformats.org/officeDocument/2006/relationships/image" Target="media/image8.jpg"/><Relationship Id="rIdImg9" Type="http://schemas.openxmlformats.org/officeDocument/2006/relationships/image" Target="media/image9.jpg"/><Relationship Id="rIdImg10" Type="http://schemas.openxmlformats.org/officeDocument/2006/relationships/image" Target="media/image10.jpg"/><Relationship Id="rIdImg11" Type="http://schemas.openxmlformats.org/officeDocument/2006/relationships/image" Target="media/image11.jpg"/><Relationship Id="rIdImg12" Type="http://schemas.openxmlformats.org/officeDocument/2006/relationships/image" Target="media/image12.jpg"/><Relationship Id="rIdImg13" Type="http://schemas.openxmlformats.org/officeDocument/2006/relationships/image" Target="media/image13.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Boeuf Tracker — Évolution technique et justification des choix</dc:title>
  <dc:creator>Ismael Gansonre</dc:creator>
  <dc:description>De YOLOv11 à YOLOv26, et de NVIDIA CUDA à Apple Silicon</dc:description>
  <cp:lastModifiedBy>Un-named</cp:lastModifiedBy>
  <cp:revision>1</cp:revision>
  <dcterms:created xsi:type="dcterms:W3CDTF">2026-08-03T23:50:00.433Z</dcterms:created>
  <dcterms:modified xsi:type="dcterms:W3CDTF">2026-08-03T23:50:00.434Z</dcterms:modified>
</cp:coreProperties>
</file>

<file path=docProps/custom.xml><?xml version="1.0" encoding="utf-8"?>
<Properties xmlns="http://schemas.openxmlformats.org/officeDocument/2006/custom-properties" xmlns:vt="http://schemas.openxmlformats.org/officeDocument/2006/docPropsVTypes"/>
</file>