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121212" w:val="clea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Para o nosso segundo projeto dentro do curso vamos focar na criação de diferentes visualizações que apresentam o relacionamento entre os dados. Vamos utilizar os recursos que aprendemos até aqui para responder aos questionamentos relativos ao </w:t>
      </w:r>
      <w:hyperlink r:id="rId6">
        <w:r w:rsidDel="00000000" w:rsidR="00000000" w:rsidRPr="00000000">
          <w:rPr>
            <w:rFonts w:ascii="Times New Roman" w:cs="Times New Roman" w:eastAsia="Times New Roman" w:hAnsi="Times New Roman"/>
            <w:b w:val="1"/>
            <w:color w:val="0095dd"/>
            <w:sz w:val="27"/>
            <w:szCs w:val="27"/>
            <w:u w:val="single"/>
            <w:rtl w:val="0"/>
          </w:rPr>
          <w:t xml:space="preserve">IDEB</w:t>
        </w:r>
      </w:hyperlink>
      <w:r w:rsidDel="00000000" w:rsidR="00000000" w:rsidRPr="00000000">
        <w:rPr>
          <w:rFonts w:ascii="Times New Roman" w:cs="Times New Roman" w:eastAsia="Times New Roman" w:hAnsi="Times New Roman"/>
          <w:b w:val="1"/>
          <w:color w:val="ffffff"/>
          <w:sz w:val="27"/>
          <w:szCs w:val="27"/>
          <w:rtl w:val="0"/>
        </w:rPr>
        <w:t xml:space="preserve"> (Índice de Desenvolvimento da Educação Básica)</w:t>
      </w:r>
      <w:r w:rsidDel="00000000" w:rsidR="00000000" w:rsidRPr="00000000">
        <w:rPr>
          <w:rFonts w:ascii="Times New Roman" w:cs="Times New Roman" w:eastAsia="Times New Roman" w:hAnsi="Times New Roman"/>
          <w:color w:val="ffffff"/>
          <w:sz w:val="27"/>
          <w:szCs w:val="27"/>
          <w:rtl w:val="0"/>
        </w:rPr>
        <w:t xml:space="preserv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Teremos acesso a um conjunto de dados que compila os indicadores do </w:t>
      </w:r>
      <w:r w:rsidDel="00000000" w:rsidR="00000000" w:rsidRPr="00000000">
        <w:rPr>
          <w:rFonts w:ascii="Times New Roman" w:cs="Times New Roman" w:eastAsia="Times New Roman" w:hAnsi="Times New Roman"/>
          <w:b w:val="1"/>
          <w:color w:val="ffffff"/>
          <w:sz w:val="27"/>
          <w:szCs w:val="27"/>
          <w:rtl w:val="0"/>
        </w:rPr>
        <w:t xml:space="preserve">IDEB</w:t>
      </w:r>
      <w:r w:rsidDel="00000000" w:rsidR="00000000" w:rsidRPr="00000000">
        <w:rPr>
          <w:rFonts w:ascii="Times New Roman" w:cs="Times New Roman" w:eastAsia="Times New Roman" w:hAnsi="Times New Roman"/>
          <w:color w:val="ffffff"/>
          <w:sz w:val="27"/>
          <w:szCs w:val="27"/>
          <w:rtl w:val="0"/>
        </w:rPr>
        <w:t xml:space="preserve">, divididos por região, que é fruto das </w:t>
      </w:r>
      <w:r w:rsidDel="00000000" w:rsidR="00000000" w:rsidRPr="00000000">
        <w:rPr>
          <w:rFonts w:ascii="Times New Roman" w:cs="Times New Roman" w:eastAsia="Times New Roman" w:hAnsi="Times New Roman"/>
          <w:b w:val="1"/>
          <w:color w:val="ffffff"/>
          <w:sz w:val="27"/>
          <w:szCs w:val="27"/>
          <w:rtl w:val="0"/>
        </w:rPr>
        <w:t xml:space="preserve">notas das provas</w:t>
      </w:r>
      <w:r w:rsidDel="00000000" w:rsidR="00000000" w:rsidRPr="00000000">
        <w:rPr>
          <w:rFonts w:ascii="Times New Roman" w:cs="Times New Roman" w:eastAsia="Times New Roman" w:hAnsi="Times New Roman"/>
          <w:color w:val="ffffff"/>
          <w:sz w:val="27"/>
          <w:szCs w:val="27"/>
          <w:rtl w:val="0"/>
        </w:rPr>
        <w:t xml:space="preserve"> do </w:t>
      </w:r>
      <w:hyperlink r:id="rId7">
        <w:r w:rsidDel="00000000" w:rsidR="00000000" w:rsidRPr="00000000">
          <w:rPr>
            <w:rFonts w:ascii="Times New Roman" w:cs="Times New Roman" w:eastAsia="Times New Roman" w:hAnsi="Times New Roman"/>
            <w:color w:val="0095dd"/>
            <w:sz w:val="27"/>
            <w:szCs w:val="27"/>
            <w:u w:val="single"/>
            <w:rtl w:val="0"/>
          </w:rPr>
          <w:t xml:space="preserve">SAEB</w:t>
        </w:r>
      </w:hyperlink>
      <w:r w:rsidDel="00000000" w:rsidR="00000000" w:rsidRPr="00000000">
        <w:rPr>
          <w:rFonts w:ascii="Times New Roman" w:cs="Times New Roman" w:eastAsia="Times New Roman" w:hAnsi="Times New Roman"/>
          <w:color w:val="ffffff"/>
          <w:sz w:val="27"/>
          <w:szCs w:val="27"/>
          <w:rtl w:val="0"/>
        </w:rPr>
        <w:t xml:space="preserve"> (Sistema de Avaliação da Educação Básica) realizadas entre 2005 a 2021 e as </w:t>
      </w:r>
      <w:r w:rsidDel="00000000" w:rsidR="00000000" w:rsidRPr="00000000">
        <w:rPr>
          <w:rFonts w:ascii="Times New Roman" w:cs="Times New Roman" w:eastAsia="Times New Roman" w:hAnsi="Times New Roman"/>
          <w:b w:val="1"/>
          <w:color w:val="ffffff"/>
          <w:sz w:val="27"/>
          <w:szCs w:val="27"/>
          <w:rtl w:val="0"/>
        </w:rPr>
        <w:t xml:space="preserve">taxas de aprovação</w:t>
      </w:r>
      <w:r w:rsidDel="00000000" w:rsidR="00000000" w:rsidRPr="00000000">
        <w:rPr>
          <w:rFonts w:ascii="Times New Roman" w:cs="Times New Roman" w:eastAsia="Times New Roman" w:hAnsi="Times New Roman"/>
          <w:color w:val="ffffff"/>
          <w:sz w:val="27"/>
          <w:szCs w:val="27"/>
          <w:rtl w:val="0"/>
        </w:rPr>
        <w:t xml:space="preserve"> divulgadas pelo </w:t>
      </w:r>
      <w:hyperlink r:id="rId8">
        <w:r w:rsidDel="00000000" w:rsidR="00000000" w:rsidRPr="00000000">
          <w:rPr>
            <w:rFonts w:ascii="Times New Roman" w:cs="Times New Roman" w:eastAsia="Times New Roman" w:hAnsi="Times New Roman"/>
            <w:color w:val="0095dd"/>
            <w:sz w:val="27"/>
            <w:szCs w:val="27"/>
            <w:u w:val="single"/>
            <w:rtl w:val="0"/>
          </w:rPr>
          <w:t xml:space="preserve">Censo Escolar</w:t>
        </w:r>
      </w:hyperlink>
      <w:r w:rsidDel="00000000" w:rsidR="00000000" w:rsidRPr="00000000">
        <w:rPr>
          <w:rFonts w:ascii="Times New Roman" w:cs="Times New Roman" w:eastAsia="Times New Roman" w:hAnsi="Times New Roman"/>
          <w:color w:val="ffffff"/>
          <w:sz w:val="27"/>
          <w:szCs w:val="27"/>
          <w:rtl w:val="0"/>
        </w:rPr>
        <w:t xml:space="preserve"> do mesmo período.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Para compreender o storytelling do projeto, esses dados descrevem o desempenho dos(as) estudantes em testes de proficiência de Língua Portuguesa e Matemática, além da taxa de aprovação escolar. O IDEB é medido em uma escala de 0 a 10 e é uma importante ferramenta para acompanhar o desenvolvimento da educação básica no país, permitindo a avaliação da efetividade das políticas públicas na área e a identificação das regiões que necessitam de maior atenção.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Este projeto nos seguirá nesta aula e, para que possamos trabalhar com os dados, precisamos compreender as informações que temos acesso. Sendo assim, vamos verificar os dados que possuímos em cada coluna do dataset </w:t>
      </w:r>
      <w:r w:rsidDel="00000000" w:rsidR="00000000" w:rsidRPr="00000000">
        <w:rPr>
          <w:rFonts w:ascii="Roboto Mono" w:cs="Roboto Mono" w:eastAsia="Roboto Mono" w:hAnsi="Roboto Mono"/>
          <w:color w:val="ffffff"/>
          <w:sz w:val="23"/>
          <w:szCs w:val="23"/>
          <w:shd w:fill="272822" w:val="clear"/>
          <w:rtl w:val="0"/>
        </w:rPr>
        <w:t xml:space="preserve">ideb_reg_2005_2021.csv</w:t>
      </w:r>
      <w:r w:rsidDel="00000000" w:rsidR="00000000" w:rsidRPr="00000000">
        <w:rPr>
          <w:rFonts w:ascii="Times New Roman" w:cs="Times New Roman" w:eastAsia="Times New Roman" w:hAnsi="Times New Roman"/>
          <w:color w:val="ffffff"/>
          <w:sz w:val="27"/>
          <w:szCs w:val="27"/>
          <w:rtl w:val="0"/>
        </w:rPr>
        <w:t xml:space="preserv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46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ano</w:t>
      </w:r>
      <w:r w:rsidDel="00000000" w:rsidR="00000000" w:rsidRPr="00000000">
        <w:rPr>
          <w:rFonts w:ascii="Times New Roman" w:cs="Times New Roman" w:eastAsia="Times New Roman" w:hAnsi="Times New Roman"/>
          <w:color w:val="ffffff"/>
          <w:sz w:val="27"/>
          <w:szCs w:val="27"/>
          <w:rtl w:val="0"/>
        </w:rPr>
        <w:t xml:space="preserve">: ano de representação dos dados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regiao</w:t>
      </w:r>
      <w:r w:rsidDel="00000000" w:rsidR="00000000" w:rsidRPr="00000000">
        <w:rPr>
          <w:rFonts w:ascii="Times New Roman" w:cs="Times New Roman" w:eastAsia="Times New Roman" w:hAnsi="Times New Roman"/>
          <w:color w:val="ffffff"/>
          <w:sz w:val="27"/>
          <w:szCs w:val="27"/>
          <w:rtl w:val="0"/>
        </w:rPr>
        <w:t xml:space="preserve">: região onde a prova foi realizada</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rede</w:t>
      </w:r>
      <w:r w:rsidDel="00000000" w:rsidR="00000000" w:rsidRPr="00000000">
        <w:rPr>
          <w:rFonts w:ascii="Times New Roman" w:cs="Times New Roman" w:eastAsia="Times New Roman" w:hAnsi="Times New Roman"/>
          <w:color w:val="ffffff"/>
          <w:sz w:val="27"/>
          <w:szCs w:val="27"/>
          <w:rtl w:val="0"/>
        </w:rPr>
        <w:t xml:space="preserve">: rede onde os dados foram compilados (</w:t>
      </w:r>
      <w:r w:rsidDel="00000000" w:rsidR="00000000" w:rsidRPr="00000000">
        <w:rPr>
          <w:rFonts w:ascii="Roboto Mono" w:cs="Roboto Mono" w:eastAsia="Roboto Mono" w:hAnsi="Roboto Mono"/>
          <w:color w:val="ffffff"/>
          <w:sz w:val="23"/>
          <w:szCs w:val="23"/>
          <w:shd w:fill="272822" w:val="clear"/>
          <w:rtl w:val="0"/>
        </w:rPr>
        <w:t xml:space="preserve">estadual</w:t>
      </w:r>
      <w:r w:rsidDel="00000000" w:rsidR="00000000" w:rsidRPr="00000000">
        <w:rPr>
          <w:rFonts w:ascii="Times New Roman" w:cs="Times New Roman" w:eastAsia="Times New Roman" w:hAnsi="Times New Roman"/>
          <w:color w:val="ffffff"/>
          <w:sz w:val="27"/>
          <w:szCs w:val="27"/>
          <w:rtl w:val="0"/>
        </w:rPr>
        <w:t xml:space="preserve"> ou </w:t>
      </w:r>
      <w:r w:rsidDel="00000000" w:rsidR="00000000" w:rsidRPr="00000000">
        <w:rPr>
          <w:rFonts w:ascii="Roboto Mono" w:cs="Roboto Mono" w:eastAsia="Roboto Mono" w:hAnsi="Roboto Mono"/>
          <w:color w:val="ffffff"/>
          <w:sz w:val="23"/>
          <w:szCs w:val="23"/>
          <w:shd w:fill="272822" w:val="clear"/>
          <w:rtl w:val="0"/>
        </w:rPr>
        <w:t xml:space="preserve">privada</w:t>
      </w:r>
      <w:r w:rsidDel="00000000" w:rsidR="00000000" w:rsidRPr="00000000">
        <w:rPr>
          <w:rFonts w:ascii="Times New Roman" w:cs="Times New Roman" w:eastAsia="Times New Roman" w:hAnsi="Times New Roman"/>
          <w:color w:val="ffffff"/>
          <w:sz w:val="27"/>
          <w:szCs w:val="27"/>
          <w:rtl w:val="0"/>
        </w:rPr>
        <w:t xml:space="preserv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ensino</w:t>
      </w:r>
      <w:r w:rsidDel="00000000" w:rsidR="00000000" w:rsidRPr="00000000">
        <w:rPr>
          <w:rFonts w:ascii="Times New Roman" w:cs="Times New Roman" w:eastAsia="Times New Roman" w:hAnsi="Times New Roman"/>
          <w:color w:val="ffffff"/>
          <w:sz w:val="27"/>
          <w:szCs w:val="27"/>
          <w:rtl w:val="0"/>
        </w:rPr>
        <w:t xml:space="preserve">: etapa de ensino dos aplicantes (</w:t>
      </w:r>
      <w:r w:rsidDel="00000000" w:rsidR="00000000" w:rsidRPr="00000000">
        <w:rPr>
          <w:rFonts w:ascii="Roboto Mono" w:cs="Roboto Mono" w:eastAsia="Roboto Mono" w:hAnsi="Roboto Mono"/>
          <w:color w:val="ffffff"/>
          <w:sz w:val="23"/>
          <w:szCs w:val="23"/>
          <w:shd w:fill="272822" w:val="clear"/>
          <w:rtl w:val="0"/>
        </w:rPr>
        <w:t xml:space="preserve">fundamental</w:t>
      </w:r>
      <w:r w:rsidDel="00000000" w:rsidR="00000000" w:rsidRPr="00000000">
        <w:rPr>
          <w:rFonts w:ascii="Times New Roman" w:cs="Times New Roman" w:eastAsia="Times New Roman" w:hAnsi="Times New Roman"/>
          <w:color w:val="ffffff"/>
          <w:sz w:val="27"/>
          <w:szCs w:val="27"/>
          <w:rtl w:val="0"/>
        </w:rPr>
        <w:t xml:space="preserve"> ou </w:t>
      </w:r>
      <w:r w:rsidDel="00000000" w:rsidR="00000000" w:rsidRPr="00000000">
        <w:rPr>
          <w:rFonts w:ascii="Roboto Mono" w:cs="Roboto Mono" w:eastAsia="Roboto Mono" w:hAnsi="Roboto Mono"/>
          <w:color w:val="ffffff"/>
          <w:sz w:val="23"/>
          <w:szCs w:val="23"/>
          <w:shd w:fill="272822" w:val="clear"/>
          <w:rtl w:val="0"/>
        </w:rPr>
        <w:t xml:space="preserve">medio</w:t>
      </w:r>
      <w:r w:rsidDel="00000000" w:rsidR="00000000" w:rsidRPr="00000000">
        <w:rPr>
          <w:rFonts w:ascii="Times New Roman" w:cs="Times New Roman" w:eastAsia="Times New Roman" w:hAnsi="Times New Roman"/>
          <w:color w:val="ffffff"/>
          <w:sz w:val="27"/>
          <w:szCs w:val="27"/>
          <w:rtl w:val="0"/>
        </w:rPr>
        <w:t xml:space="preserv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anos_escolares</w:t>
      </w:r>
      <w:r w:rsidDel="00000000" w:rsidR="00000000" w:rsidRPr="00000000">
        <w:rPr>
          <w:rFonts w:ascii="Times New Roman" w:cs="Times New Roman" w:eastAsia="Times New Roman" w:hAnsi="Times New Roman"/>
          <w:color w:val="ffffff"/>
          <w:sz w:val="27"/>
          <w:szCs w:val="27"/>
          <w:rtl w:val="0"/>
        </w:rPr>
        <w:t xml:space="preserve">: fase do ensino dos aplicantes (</w:t>
      </w:r>
      <w:r w:rsidDel="00000000" w:rsidR="00000000" w:rsidRPr="00000000">
        <w:rPr>
          <w:rFonts w:ascii="Roboto Mono" w:cs="Roboto Mono" w:eastAsia="Roboto Mono" w:hAnsi="Roboto Mono"/>
          <w:color w:val="ffffff"/>
          <w:sz w:val="23"/>
          <w:szCs w:val="23"/>
          <w:shd w:fill="272822" w:val="clear"/>
          <w:rtl w:val="0"/>
        </w:rPr>
        <w:t xml:space="preserve">EFAI</w:t>
      </w:r>
      <w:r w:rsidDel="00000000" w:rsidR="00000000" w:rsidRPr="00000000">
        <w:rPr>
          <w:rFonts w:ascii="Times New Roman" w:cs="Times New Roman" w:eastAsia="Times New Roman" w:hAnsi="Times New Roman"/>
          <w:color w:val="ffffff"/>
          <w:sz w:val="27"/>
          <w:szCs w:val="27"/>
          <w:rtl w:val="0"/>
        </w:rPr>
        <w:t xml:space="preserve"> - Ensino Fundamental Anos Iniciais , </w:t>
      </w:r>
      <w:r w:rsidDel="00000000" w:rsidR="00000000" w:rsidRPr="00000000">
        <w:rPr>
          <w:rFonts w:ascii="Roboto Mono" w:cs="Roboto Mono" w:eastAsia="Roboto Mono" w:hAnsi="Roboto Mono"/>
          <w:color w:val="ffffff"/>
          <w:sz w:val="23"/>
          <w:szCs w:val="23"/>
          <w:shd w:fill="272822" w:val="clear"/>
          <w:rtl w:val="0"/>
        </w:rPr>
        <w:t xml:space="preserve">EFAF</w:t>
      </w:r>
      <w:r w:rsidDel="00000000" w:rsidR="00000000" w:rsidRPr="00000000">
        <w:rPr>
          <w:rFonts w:ascii="Times New Roman" w:cs="Times New Roman" w:eastAsia="Times New Roman" w:hAnsi="Times New Roman"/>
          <w:color w:val="ffffff"/>
          <w:sz w:val="27"/>
          <w:szCs w:val="27"/>
          <w:rtl w:val="0"/>
        </w:rPr>
        <w:t xml:space="preserve"> - Ensino Fundamental Anos Finais, </w:t>
      </w:r>
      <w:r w:rsidDel="00000000" w:rsidR="00000000" w:rsidRPr="00000000">
        <w:rPr>
          <w:rFonts w:ascii="Roboto Mono" w:cs="Roboto Mono" w:eastAsia="Roboto Mono" w:hAnsi="Roboto Mono"/>
          <w:color w:val="ffffff"/>
          <w:sz w:val="23"/>
          <w:szCs w:val="23"/>
          <w:shd w:fill="272822" w:val="clear"/>
          <w:rtl w:val="0"/>
        </w:rPr>
        <w:t xml:space="preserve">EM</w:t>
      </w:r>
      <w:r w:rsidDel="00000000" w:rsidR="00000000" w:rsidRPr="00000000">
        <w:rPr>
          <w:rFonts w:ascii="Times New Roman" w:cs="Times New Roman" w:eastAsia="Times New Roman" w:hAnsi="Times New Roman"/>
          <w:color w:val="ffffff"/>
          <w:sz w:val="27"/>
          <w:szCs w:val="27"/>
          <w:rtl w:val="0"/>
        </w:rPr>
        <w:t xml:space="preserve"> - Ensino Médio)</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taxa_aprovacao</w:t>
      </w:r>
      <w:r w:rsidDel="00000000" w:rsidR="00000000" w:rsidRPr="00000000">
        <w:rPr>
          <w:rFonts w:ascii="Times New Roman" w:cs="Times New Roman" w:eastAsia="Times New Roman" w:hAnsi="Times New Roman"/>
          <w:color w:val="ffffff"/>
          <w:sz w:val="27"/>
          <w:szCs w:val="27"/>
          <w:rtl w:val="0"/>
        </w:rPr>
        <w:t xml:space="preserve">: taxa de aprovação dos aplicantes da região na fase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indicador_rendimento</w:t>
      </w:r>
      <w:r w:rsidDel="00000000" w:rsidR="00000000" w:rsidRPr="00000000">
        <w:rPr>
          <w:rFonts w:ascii="Times New Roman" w:cs="Times New Roman" w:eastAsia="Times New Roman" w:hAnsi="Times New Roman"/>
          <w:color w:val="ffffff"/>
          <w:sz w:val="27"/>
          <w:szCs w:val="27"/>
          <w:rtl w:val="0"/>
        </w:rPr>
        <w:t xml:space="preserve">: indicador de rendimento baseado na taxa de aprovação dos aplicantes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nota_saeb_matematica</w:t>
      </w:r>
      <w:r w:rsidDel="00000000" w:rsidR="00000000" w:rsidRPr="00000000">
        <w:rPr>
          <w:rFonts w:ascii="Times New Roman" w:cs="Times New Roman" w:eastAsia="Times New Roman" w:hAnsi="Times New Roman"/>
          <w:color w:val="ffffff"/>
          <w:sz w:val="27"/>
          <w:szCs w:val="27"/>
          <w:rtl w:val="0"/>
        </w:rPr>
        <w:t xml:space="preserve">: nota de proficiência em matemática não padronizada (0-500) no exame do SAEB ou Prova Brasil</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nota_saeb_lingua_portuguesa</w:t>
      </w:r>
      <w:r w:rsidDel="00000000" w:rsidR="00000000" w:rsidRPr="00000000">
        <w:rPr>
          <w:rFonts w:ascii="Times New Roman" w:cs="Times New Roman" w:eastAsia="Times New Roman" w:hAnsi="Times New Roman"/>
          <w:color w:val="ffffff"/>
          <w:sz w:val="27"/>
          <w:szCs w:val="27"/>
          <w:rtl w:val="0"/>
        </w:rPr>
        <w:t xml:space="preserve">: nota de proficiência em língua portuguesa não padronizada (0-500) no exame do SAEB ou Prova Brasil</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nota_saeb_media_padronizada</w:t>
      </w:r>
      <w:r w:rsidDel="00000000" w:rsidR="00000000" w:rsidRPr="00000000">
        <w:rPr>
          <w:rFonts w:ascii="Times New Roman" w:cs="Times New Roman" w:eastAsia="Times New Roman" w:hAnsi="Times New Roman"/>
          <w:color w:val="ffffff"/>
          <w:sz w:val="27"/>
          <w:szCs w:val="27"/>
          <w:rtl w:val="0"/>
        </w:rPr>
        <w:t xml:space="preserve">: média da proficiência em língua portuguesa e matemática, padronizada para um indicador entre 0 e 10</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121212" w:val="clear"/>
        <w:spacing w:after="46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ideb</w:t>
      </w:r>
      <w:r w:rsidDel="00000000" w:rsidR="00000000" w:rsidRPr="00000000">
        <w:rPr>
          <w:rFonts w:ascii="Times New Roman" w:cs="Times New Roman" w:eastAsia="Times New Roman" w:hAnsi="Times New Roman"/>
          <w:color w:val="ffffff"/>
          <w:sz w:val="27"/>
          <w:szCs w:val="27"/>
          <w:rtl w:val="0"/>
        </w:rPr>
        <w:t xml:space="preserve">: índice de desenvolvimento da educação básica resultante do produto entre a nota média padronizada (N) e o indicador de rendimento (P)</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Os questionamentos que vamos responder durante a exploração dos dados são os seguintes:</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121212" w:val="clear"/>
        <w:spacing w:after="0" w:afterAutospacing="0" w:before="460" w:lineRule="auto"/>
        <w:ind w:left="1160" w:hanging="360"/>
      </w:pPr>
      <w:r w:rsidDel="00000000" w:rsidR="00000000" w:rsidRPr="00000000">
        <w:rPr>
          <w:rFonts w:ascii="Times New Roman" w:cs="Times New Roman" w:eastAsia="Times New Roman" w:hAnsi="Times New Roman"/>
          <w:color w:val="ffffff"/>
          <w:sz w:val="27"/>
          <w:szCs w:val="27"/>
          <w:rtl w:val="0"/>
        </w:rPr>
        <w:t xml:space="preserve">Qual a relação entre o IDEB e o indicador de rendimento das escolas no ensino médio? É positiva, negativa ou não estão correlacionadas?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ffffff"/>
          <w:sz w:val="27"/>
          <w:szCs w:val="27"/>
          <w:rtl w:val="0"/>
        </w:rPr>
        <w:t xml:space="preserve">Qual a relação entre as notas das disciplinas de língua portuguesa e matemática no SAEB por região no Ensino Fundamental Anos Iniciais? Conseguimos traçar algum paralelo entre elas?</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121212" w:val="clear"/>
        <w:spacing w:after="460" w:before="0" w:beforeAutospacing="0" w:lineRule="auto"/>
        <w:ind w:left="1160" w:hanging="360"/>
      </w:pPr>
      <w:r w:rsidDel="00000000" w:rsidR="00000000" w:rsidRPr="00000000">
        <w:rPr>
          <w:rFonts w:ascii="Times New Roman" w:cs="Times New Roman" w:eastAsia="Times New Roman" w:hAnsi="Times New Roman"/>
          <w:color w:val="ffffff"/>
          <w:sz w:val="27"/>
          <w:szCs w:val="27"/>
          <w:rtl w:val="0"/>
        </w:rPr>
        <w:t xml:space="preserve">Qual seria a relação entre a taxa de aprovação e a média da nota do SAEB no Ensino Fundamental Anos Finais? Conseguimos notar como as duas se distribuem em relação ao IDEB e as regiões?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Essas questões serão nossas principais formas de conduzir nosso curso daqui em diante. Iremos responder aos poucos a cada uma delas. Conto contigo nessa caminhada! Bons estudos e até o próximo vídeo.</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color w:val="ffffff"/>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v.br/inep/pt-br/areas-de-atuacao/pesquisas-estatisticas-e-indicadores/ideb" TargetMode="External"/><Relationship Id="rId7" Type="http://schemas.openxmlformats.org/officeDocument/2006/relationships/hyperlink" Target="https://www.gov.br/inep/pt-br/areas-de-atuacao/avaliacao-e-exames-educacionais/saeb" TargetMode="External"/><Relationship Id="rId8" Type="http://schemas.openxmlformats.org/officeDocument/2006/relationships/hyperlink" Target="https://www.gov.br/inep/pt-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