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estamos trabalhando com dados numéricos em uma base de dados, medidas como média e mediana podem não ser suficientes para entender completamente o comportamento dos dados. Para fazer uma análise mais detalhada, a </w:t>
      </w:r>
      <w:r w:rsidDel="00000000" w:rsidR="00000000" w:rsidRPr="00000000">
        <w:rPr>
          <w:b w:val="1"/>
          <w:rtl w:val="0"/>
        </w:rPr>
        <w:t xml:space="preserve">visualização</w:t>
      </w:r>
      <w:r w:rsidDel="00000000" w:rsidR="00000000" w:rsidRPr="00000000">
        <w:rPr>
          <w:rtl w:val="0"/>
        </w:rPr>
        <w:t xml:space="preserve"> desempenha um papel crucial na compreensão dos dados.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se trata de dados numéricos, os gráficos de distribuição são fundamentais para revelar padrões, tendências e anomalias. Neste momento, vamos explorar alguns dos tipos mais comuns de visualização utilizados para representar a distribuição de dados.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kiobeckm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Histograma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histograma é uma das visualizações mais básicas e poderosas para entender a distribuição de dados. Ele consiste em barras que representam a frequência de ocorrência de valores em intervalos específicos.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prático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Histograma representando a quantidade de clientes por faixa etária: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alt text: Histograma mostrando a distribuição dos clientes por faixa etária. É possível notar no eixo x os intervalos de faixa etária de 5 em 5 anos, partindo de 20 até 80. Os valores do eixo y variam de 0 a 200. Cada coluna do histograma possui o tamanho correspondente a quantidade de pessoas com certa faixa etária. Todas as colunas estão na cor marrom." id="1" name="image3.jpg"/>
            <a:graphic>
              <a:graphicData uri="http://schemas.openxmlformats.org/drawingml/2006/picture">
                <pic:pic>
                  <pic:nvPicPr>
                    <pic:cNvPr descr="alt text: Histograma mostrando a distribuição dos clientes por faixa etária. É possível notar no eixo x os intervalos de faixa etária de 5 em 5 anos, partindo de 20 até 80. Os valores do eixo y variam de 0 a 200. Cada coluna do histograma possui o tamanho correspondente a quantidade de pessoas com certa faixa etária. Todas as colunas estão na cor marrom.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q8qfagpvt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Gráfico de densidade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Semelhante ao histograma, o gráfico de densidade mostra a distribuição dos dados, mas de uma forma suavizada, utilizando uma linha. Ele é útil na identificação de padrões mais sutis nos dados, permitindo a visualização mais rápida de picos e vales.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prático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Gráfico de densidade com a distribuição de salários: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alt text: Gráfico de densidade da distribuição dos salários de uma localidade, em que é possível notar no eixo x os intervalos de salários de 2.000 reais, partindo de 2.000 até 18.000 reais. Os rótulos do eixo y variam de 0 até 160 micro. É representada uma curva marrom em forma de sino da distribuição normal dos salários com uma mediana de 6.000 reais e média de 6.197 reais representadas, respectivamente, por uma linha amarela e cinza cortando verticalmente o gráfico das coordenadas do eixo x." id="2" name="image2.jpg"/>
            <a:graphic>
              <a:graphicData uri="http://schemas.openxmlformats.org/drawingml/2006/picture">
                <pic:pic>
                  <pic:nvPicPr>
                    <pic:cNvPr descr="alt text: Gráfico de densidade da distribuição dos salários de uma localidade, em que é possível notar no eixo x os intervalos de salários de 2.000 reais, partindo de 2.000 até 18.000 reais. Os rótulos do eixo y variam de 0 até 160 micro. É representada uma curva marrom em forma de sino da distribuição normal dos salários com uma mediana de 6.000 reais e média de 6.197 reais representadas, respectivamente, por uma linha amarela e cinza cortando verticalmente o gráfico das coordenadas do eixo x.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dceekq0mn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Boxplot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boxplot, também conhecido como diagrama de caixa, fornece uma visão rápida das principais estatísticas descritivas de um conjunto de dados, incluindo a mediana, máximo, mínimo, quartis e possíveis outliers. Ele é muito útil para comparar distribuições de diferentes grupos e identificar valores discrepantes.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prático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Boxplot com a comparação da distribuição de notas de avaliação de diferentes produtos: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descr="alt text: Imagem de um Boxplot representando a distribuição das avaliações dos produtos A, B e C. É possível notar no eixo y do Boxplot os intervalos de notas de 0 a 10. O boxplot está com a orientação vertical e a caixa com os quartis estão nas cores: azul-petróleo para o Produto A, azul céu para o Produto B e rosa claro pro produto C." id="3" name="image1.jpg"/>
            <a:graphic>
              <a:graphicData uri="http://schemas.openxmlformats.org/drawingml/2006/picture">
                <pic:pic>
                  <pic:nvPicPr>
                    <pic:cNvPr descr="alt text: Imagem de um Boxplot representando a distribuição das avaliações dos produtos A, B e C. É possível notar no eixo y do Boxplot os intervalos de notas de 0 a 10. O boxplot está com a orientação vertical e a caixa com os quartis estão nas cores: azul-petróleo para o Produto A, azul céu para o Produto B e rosa claro pro produto C.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queira entender mais sobre os diferentes tipos de visualizações e escolher o gráfico que mais se adequa a cada tipo de dado, acesse o artigo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Dicas de como escolher o tipo de visualização de dados para sua análise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lura.com.br/artigos/tipo-de-visualizacao-de-dados" TargetMode="External"/><Relationship Id="rId9" Type="http://schemas.openxmlformats.org/officeDocument/2006/relationships/hyperlink" Target="https://www.alura.com.br/artigos/tipo-de-visualizacao-de-dados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