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 similaridade entre os termos </w:t>
      </w:r>
      <w:r w:rsidDel="00000000" w:rsidR="00000000" w:rsidRPr="00000000">
        <w:rPr>
          <w:b w:val="1"/>
          <w:rtl w:val="0"/>
        </w:rPr>
        <w:t xml:space="preserve">desvio padrão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erro padrão</w:t>
      </w:r>
      <w:r w:rsidDel="00000000" w:rsidR="00000000" w:rsidRPr="00000000">
        <w:rPr>
          <w:rtl w:val="0"/>
        </w:rPr>
        <w:t xml:space="preserve"> podem gerar um equívoco quanto ao significado, utilização e até mesmo o cálculo dessas duas medidas. Buscando superar qualquer engano, nessa atividade vamos aprender sobre ambos os conceitos.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facilitar a explicação, vamos começar com um exemplo. Suponhamos que Valquíria é gerente de uma empresa que vende barras de chocolate. Nessa empresa, existe uma máquina que produz as barras de chocolate com um peso nominal de 100 gramas.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Valquíria quer garantir que, em média, cada pacote contenha a quantidade certa de chocolates, mas está ciente de que pode haver alguma variabilidade no peso de cada barra.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 instruiu seus funcionários a coletar 10 barras de chocolate da máquina e medir o peso de cada uma. Após a coleta dos dados, o funcionário calcula a média do peso das barras e descobre que a média da amostra é de, aproximadamente, 100 gramas. No entanto, ele avisa que o peso de algumas barras não era exatamente 100 gramas e mostra a tabela de pesos:</w:t>
      </w:r>
    </w:p>
    <w:tbl>
      <w:tblPr>
        <w:tblStyle w:val="Table1"/>
        <w:tblW w:w="4990.0" w:type="dxa"/>
        <w:jc w:val="left"/>
        <w:tblLayout w:type="fixed"/>
        <w:tblLook w:val="0600"/>
      </w:tblPr>
      <w:tblGrid>
        <w:gridCol w:w="380"/>
        <w:gridCol w:w="4610"/>
        <w:tblGridChange w:id="0">
          <w:tblGrid>
            <w:gridCol w:w="380"/>
            <w:gridCol w:w="46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Peso das barras de chocolate (g)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99.4197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101.821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98.5708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94.7449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99.3241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97.6067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100.679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108.739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99.0544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Desejando entender a </w:t>
      </w:r>
      <w:r w:rsidDel="00000000" w:rsidR="00000000" w:rsidRPr="00000000">
        <w:rPr>
          <w:b w:val="1"/>
          <w:rtl w:val="0"/>
        </w:rPr>
        <w:t xml:space="preserve">dispersão dos pesos na amostra em relação a média amostral</w:t>
      </w:r>
      <w:r w:rsidDel="00000000" w:rsidR="00000000" w:rsidRPr="00000000">
        <w:rPr>
          <w:rtl w:val="0"/>
        </w:rPr>
        <w:t xml:space="preserve">, Valquíria recorre ao cálculo do desvio padrão.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vq0s8rdfr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Desvio padrão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desvio padrão é uma medida de dispersão que quantifica a variabilidade ou espalhamento dos dados em uma única distribuição</w:t>
      </w:r>
      <w:r w:rsidDel="00000000" w:rsidR="00000000" w:rsidRPr="00000000">
        <w:rPr>
          <w:rtl w:val="0"/>
        </w:rPr>
        <w:t xml:space="preserve">. Isso significa que podemos utilizar essa métrica para medir a variabilidade de pesos dentro das amostras, indicando quão uniforme é aquela produção em termos de peso das barras de chocolate.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forma de visualizar como o valor do desvio padrão retrata a variabilidade da amostra é observando o gráfico abaixo.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4152900"/>
            <wp:effectExtent b="0" l="0" r="0" t="0"/>
            <wp:docPr descr="Alt text: Gráfico de três distribuições normais centralizadas no valor 10 do eixo horizontal, titulado “Distribuição suave de 1000 amostras com média 10”. No eixo X existem valores variando de -20 a 40, espaçados 10 a 10. O eixo Y tem o label “Densidade” com a faixa de valores de 0 a 0.12, espaçados 0.02 em 0.02. A primeira distribuição mostra um gráfico em formato de sino azul bem estreito, o seu pico atinge em um valor acima de 0.12, ele tem a legenda “Desvio padrão = 3.0”. A segunda distribuição mostra um gráfico em formato de sino vermelho um pouco menos estreito que o primeiro, o seu pico é atingido em 0.08, ele tem a legenda “Desvio padrão = 5.0”. A terceira distribuição mostra um gráfico em formato de sino verde um bem mais espaçada que as anteriores, o seu pico é atingido em 0.05, ele tem a legenda “Desvio padrão = 8.0”. Todos os três são colocados de forma sobreposta e representam uma distribuição suave." id="1" name="image1.png"/>
            <a:graphic>
              <a:graphicData uri="http://schemas.openxmlformats.org/drawingml/2006/picture">
                <pic:pic>
                  <pic:nvPicPr>
                    <pic:cNvPr descr="Alt text: Gráfico de três distribuições normais centralizadas no valor 10 do eixo horizontal, titulado “Distribuição suave de 1000 amostras com média 10”. No eixo X existem valores variando de -20 a 40, espaçados 10 a 10. O eixo Y tem o label “Densidade” com a faixa de valores de 0 a 0.12, espaçados 0.02 em 0.02. A primeira distribuição mostra um gráfico em formato de sino azul bem estreito, o seu pico atinge em um valor acima de 0.12, ele tem a legenda “Desvio padrão = 3.0”. A segunda distribuição mostra um gráfico em formato de sino vermelho um pouco menos estreito que o primeiro, o seu pico é atingido em 0.08, ele tem a legenda “Desvio padrão = 5.0”. A terceira distribuição mostra um gráfico em formato de sino verde um bem mais espaçada que as anteriores, o seu pico é atingido em 0.05, ele tem a legenda “Desvio padrão = 8.0”. Todos os três são colocados de forma sobreposta e representam uma distribuição suave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gráfico, temos a distribuição de 3 conjuntos amostrais de 1000 amostras, em ambos a média amostral é igual a 10. O conjunto azul apresenta o menor desvio padrão, enquanto o conjunto verde possui o maior desvio padrão. O conjunto vermelho se encontra entre os dois. Observe que o conjunto em azul está muito mais concentrado em torno do valor da média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) em comparação com os outros conjuntos, sendo o conjunto verde o que menos se centraliza em torno da média.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dessa representação, podemos observar que um desvio padrão menor indicaria que as amostras tendem a ter valores mais convergentes à média, enquanto um desvio padrão maior indicaria uma maior variabilidade nesses valores.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Trazendo para o exemplo das barras de chocolate, um valor baixo de desvio padrão poderia indicar que as barras tendem a ter pesos mais consistentes dentro da amostra, próximos a 100 gramas.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como podemos calcular essa medida?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cuij8z2c5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Calculando o desvio padrão matematicamente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cálculo matemático do desvio padrão envolve várias etapas. Vamos percorrer essas etapas passo a passo: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ic802c3f3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 1: Cálculo da média amostral.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temos a informação que a média amostral é 100.0. No entanto, para ter um valor exato, vamos somar todos os valores e dividir pela quantidade de amostras.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Soma de todos os valores amostrais: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1000.5896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Quantidade de amostras: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Média: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1000.5896 / 10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100.05896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jxztxid7d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 2: Cálculo da diferenças entre cada valor e a média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valor nos dados, subtrai-se a média calculada na Etapa 1.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exemplificar vamos executar esse passo na primeira linha dos dados. Coletamos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99.4197</w:t>
      </w:r>
      <w:r w:rsidDel="00000000" w:rsidR="00000000" w:rsidRPr="00000000">
        <w:rPr>
          <w:rtl w:val="0"/>
        </w:rPr>
        <w:t xml:space="preserve">, subtraímos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100.05896</w:t>
      </w:r>
      <w:r w:rsidDel="00000000" w:rsidR="00000000" w:rsidRPr="00000000">
        <w:rPr>
          <w:rtl w:val="0"/>
        </w:rPr>
        <w:t xml:space="preserve"> e anotamos o valor resultante,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99.4197 - 100.05896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-0.63926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</w:t>
      </w:r>
    </w:p>
    <w:tbl>
      <w:tblPr>
        <w:tblStyle w:val="Table2"/>
        <w:tblW w:w="5235.0" w:type="dxa"/>
        <w:jc w:val="left"/>
        <w:tblLayout w:type="fixed"/>
        <w:tblLook w:val="0600"/>
      </w:tblPr>
      <w:tblGrid>
        <w:gridCol w:w="380"/>
        <w:gridCol w:w="1460"/>
        <w:gridCol w:w="3395"/>
        <w:tblGridChange w:id="0">
          <w:tblGrid>
            <w:gridCol w:w="380"/>
            <w:gridCol w:w="1460"/>
            <w:gridCol w:w="33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amostras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diferença valor e 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99.4197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-0.63926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101.821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1.76204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98.5708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-1.48816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100.63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0.57104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94.7449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-5.31406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99.3241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-0.73486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97.6067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-2.45226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100.679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0.62004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108.739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8.68004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99.0544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-1.00456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srx2akujc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 3: Elevar cada diferença ao quadrado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diferenças de valores são elevadas ao quadrado. Este passo é crucial porque considera tanto as diferenças positivas quanto as negativas e dá mais peso às diferenças maiores.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tbl>
      <w:tblPr>
        <w:tblStyle w:val="Table3"/>
        <w:tblW w:w="8495.0" w:type="dxa"/>
        <w:jc w:val="left"/>
        <w:tblLayout w:type="fixed"/>
        <w:tblLook w:val="0600"/>
      </w:tblPr>
      <w:tblGrid>
        <w:gridCol w:w="380"/>
        <w:gridCol w:w="1460"/>
        <w:gridCol w:w="3395"/>
        <w:gridCol w:w="3260"/>
        <w:tblGridChange w:id="0">
          <w:tblGrid>
            <w:gridCol w:w="380"/>
            <w:gridCol w:w="1460"/>
            <w:gridCol w:w="3395"/>
            <w:gridCol w:w="32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amostras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diferença valor e 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quadrado da diferença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99.4197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-0.63926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0.408653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101.821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1.76204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3.10478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98.5708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-1.48816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2.21462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100.63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0.57104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0.326087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94.7449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-5.31406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28.2392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99.3241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-0.73486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0.540019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97.6067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-2.45226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6.01358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100.679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0.62004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0.38445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108.739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8.68004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75.3431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99.0544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-1.00456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1.00914</w:t>
            </w:r>
          </w:p>
        </w:tc>
      </w:tr>
    </w:tbl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iidr4fp2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 4: Cálculo da soma das diferenças ao quadrado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Somando todos os valores na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quadrado da diferença</w:t>
      </w:r>
      <w:r w:rsidDel="00000000" w:rsidR="00000000" w:rsidRPr="00000000">
        <w:rPr>
          <w:rtl w:val="0"/>
        </w:rPr>
        <w:t xml:space="preserve"> obtemos o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117.584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6v0or7541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 5: Divisão da soma pelo número total de observações menos 1: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Dividindo o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117.584</w:t>
      </w:r>
      <w:r w:rsidDel="00000000" w:rsidR="00000000" w:rsidRPr="00000000">
        <w:rPr>
          <w:rtl w:val="0"/>
        </w:rPr>
        <w:t xml:space="preserve"> pelo total de observações menos 1,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10 - 1 = 9</w:t>
      </w:r>
      <w:r w:rsidDel="00000000" w:rsidR="00000000" w:rsidRPr="00000000">
        <w:rPr>
          <w:rtl w:val="0"/>
        </w:rPr>
        <w:t xml:space="preserve">, obtemos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13.065</w:t>
      </w:r>
      <w:r w:rsidDel="00000000" w:rsidR="00000000" w:rsidRPr="00000000">
        <w:rPr>
          <w:rtl w:val="0"/>
        </w:rPr>
        <w:t xml:space="preserve">. Esse resultado é chamado de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variância</w:t>
        </w:r>
      </w:hyperlink>
      <w:r w:rsidDel="00000000" w:rsidR="00000000" w:rsidRPr="00000000">
        <w:rPr>
          <w:rtl w:val="0"/>
        </w:rPr>
        <w:t xml:space="preserve"> amostral.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principal razão para a subtração de 1 na fórmula da variância da amostra é compensar o fato de que estamos estimando a variabilidade com base em uma amostra e não em toda a população. Essa correção, conhecida como correção de Bessel, reduz o viés amostral na estimativa da variância.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a72cxpne0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 6: Cálculo da raiz quadrada da variância para obter o desvio padrão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desvio padrão é a raiz quadrada da variância. Isso é feito para voltar à escala original dos dados, uma vez que a variância é medida em unidades ao quadrado.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resultado aproximado da raiz quadrada de nossa variância é, aproximadamente,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3.614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wabqte68o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Calculando o desvio padrão com Python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esse cálculo pode ser simplificado através da programação em Python. Utilizamos 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método </w:t>
        </w:r>
      </w:hyperlink>
      <w:hyperlink r:id="rId11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std()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da biblioteca Pandas</w:t>
        </w:r>
      </w:hyperlink>
      <w:r w:rsidDel="00000000" w:rsidR="00000000" w:rsidRPr="00000000">
        <w:rPr>
          <w:rtl w:val="0"/>
        </w:rPr>
        <w:t xml:space="preserve"> no nosso dataframe com os valores de pesos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amostra_10_pesos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amostra_10_pesos['Peso das barras de chocolate (g)'].std()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3.614533349072264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Verificamos que obtemos o mesmo resultado.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std()</w:t>
      </w:r>
      <w:r w:rsidDel="00000000" w:rsidR="00000000" w:rsidRPr="00000000">
        <w:rPr>
          <w:rtl w:val="0"/>
        </w:rPr>
        <w:t xml:space="preserve"> do pandas por padrão já considera o cálculo do desvio padrão amostral.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tiver interesse em observar a distribuição suave dos pesos ou realizar os cálculos matemáticos apresentados na atividade, você pode utilizar o código abaixo: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amostra_10_pesos = pd.DataFrame({'Peso das barras de chocolate (g)': [99.4197, 101.821, 98.5708, 100.63, 94.7449, 99.3241, 97.6067, 100.679, 108.739, 99.0544]})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dp = amostra_10_pesos['Peso das barras de chocolate (g)'].std()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sns.kdeplot(amostra_10_pesos['Peso das barras de chocolate (g)'], linewidth=2, fill= True, label=f'Desvio padrão = {dp:.3f}')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plt.ylabel('Frequência')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plt.title('Distribuição suave pesos de barra amostrais')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E">
      <w:pPr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cálculo do desvio padrão, Valquíria conseguiu entender a medida de dispersão da sua amostra. No entanto, logo surgiu uma dúvida: “Quão confiável é a média amostral para refletir a verdadeira média populacional do peso das barras?”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tirar essa dúvida, ela recorreu ao cálculo do erro padrão.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br6ocm33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Erro padrão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erro padrão é uma </w:t>
      </w:r>
      <w:r w:rsidDel="00000000" w:rsidR="00000000" w:rsidRPr="00000000">
        <w:rPr>
          <w:b w:val="1"/>
          <w:rtl w:val="0"/>
        </w:rPr>
        <w:t xml:space="preserve">medida de variação da média amostral</w:t>
      </w:r>
      <w:r w:rsidDel="00000000" w:rsidR="00000000" w:rsidRPr="00000000">
        <w:rPr>
          <w:rtl w:val="0"/>
        </w:rPr>
        <w:t xml:space="preserve"> em relação à </w:t>
      </w:r>
      <w:r w:rsidDel="00000000" w:rsidR="00000000" w:rsidRPr="00000000">
        <w:rPr>
          <w:b w:val="1"/>
          <w:rtl w:val="0"/>
        </w:rPr>
        <w:t xml:space="preserve">média da população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contexto das barras de chocolate, o erro padrão representaria a variabilidade na média do peso das barras entre diferentes pacotes. Com esse valor calculado, Valquíria não precisa pedir para seus funcionários medirem os pesos de todas as barras que a máquina produziu, pois ela poderá utilizar essa medida para, posteriormente, definir um </w:t>
      </w:r>
      <w:r w:rsidDel="00000000" w:rsidR="00000000" w:rsidRPr="00000000">
        <w:rPr>
          <w:b w:val="1"/>
          <w:rtl w:val="0"/>
        </w:rPr>
        <w:t xml:space="preserve">intervalo de confiança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Observação: O conceito de intervalo de confiança será tratado mais adiante no curso.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6aup4tyv9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Calculando o erro padrão matematicamente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Conseguimos calcular matematicamente o erro padrão amostral dividindo o valor do desvio padrão amostral pela raiz quadrada da quantidade de amostras. Assim, teremos: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Desvio padrão amostral: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3.614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 de amostras: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 padrão amostral: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3.614 / sqrt(10)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1.143</w:t>
      </w:r>
      <w:r w:rsidDel="00000000" w:rsidR="00000000" w:rsidRPr="00000000">
        <w:rPr>
          <w:rtl w:val="0"/>
        </w:rPr>
        <w:t xml:space="preserve">, aproximadamente.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rm3d2g7lr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Calculando o erro padrão com Python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Python, podemos aplicar o cálculo matemático que aprendemos durante a atividade: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amostra_10_pesos = pd.DataFrame({'Peso das barras de chocolate (g)': [99.4197, 101.821, 98.5708, 100.63, 94.7449, 99.3241, 97.6067, 100.679, 108.739, 99.0544]})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Desvio padrão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dp_amostral = amostra_10_pesos['Peso das barras de chocolate (g)'].std()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Tamanho da amostra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tamanho_amostra = len(amostra_10_pesos)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Calculando o Erro Padrão da Amostra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erro_padrao_amostral = dp_amostral / np.sqrt(tamanho_amostra)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print('Erro padrão:', erro_padrao_amostral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Erro padrão: 1.1430158061704814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modo mais direto para obter esse valor é utilizar a função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stats.sem</w:t>
        </w:r>
      </w:hyperlink>
      <w:r w:rsidDel="00000000" w:rsidR="00000000" w:rsidRPr="00000000">
        <w:rPr>
          <w:rtl w:val="0"/>
        </w:rPr>
        <w:t xml:space="preserve"> da biblioteca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scipy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amostra_10_pesos = pd.DataFrame({'Peso das barras de chocolate (g)': [99.4197, 101.821, 98.5708, 100.63, 94.7449, 99.3241, 97.6067, 100.679, 108.739, 99.0544]})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 Calculando o Erro Padrão da Amostra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erro_padrao_amostral = stats.sem(amostra_10_pesos['Peso das barras de chocolate (g)'])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print('Erro padrão:', erro_padrao_amostral)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Erro padrão: 1.1430158061704814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erro padrão menor indica que as médias amostrais estão mais consistentemente próximas da verdadeira média populacional, enquanto um erro padrão maior sugere maior variabilidade nas médias amostrais.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qnw15i0f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Diferença entre desvio padrão e erro padrão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termos simples, enquanto o desvio padrão nos diz o quão espalhados estão os dados individuais, o erro padrão nos mostra o quão precisa é a média de uma amostra como estimativa da média da população.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termos técnicos, o desvio padrão é a medida de variabilidade individual dos dados e o erro padrão é a medida de variabilidade associada à média amostral. Portanto, podemos resumir que desvio padrão é sobre dados individuais, enquanto o erro padrão diz respeito à confiabilidade da média de uma amostra.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das.pydata.org/pandas-docs/version/2.1/reference/api/pandas.DataFrame.std.html" TargetMode="External"/><Relationship Id="rId10" Type="http://schemas.openxmlformats.org/officeDocument/2006/relationships/hyperlink" Target="https://pandas.pydata.org/pandas-docs/version/2.1/reference/api/pandas.DataFrame.std.html" TargetMode="External"/><Relationship Id="rId13" Type="http://schemas.openxmlformats.org/officeDocument/2006/relationships/hyperlink" Target="https://docs.scipy.org/doc/scipy/reference/generated/scipy.stats.sem.html" TargetMode="External"/><Relationship Id="rId12" Type="http://schemas.openxmlformats.org/officeDocument/2006/relationships/hyperlink" Target="https://pandas.pydata.org/pandas-docs/version/2.1/reference/api/pandas.DataFrame.st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pandas-docs/version/2.1/reference/api/pandas.DataFrame.std.html" TargetMode="External"/><Relationship Id="rId15" Type="http://schemas.openxmlformats.org/officeDocument/2006/relationships/hyperlink" Target="https://docs.scipy.org/doc/scipy/index.html" TargetMode="External"/><Relationship Id="rId14" Type="http://schemas.openxmlformats.org/officeDocument/2006/relationships/hyperlink" Target="https://docs.scipy.org/doc/scipy/reference/generated/scipy.stats.sem.html" TargetMode="External"/><Relationship Id="rId16" Type="http://schemas.openxmlformats.org/officeDocument/2006/relationships/hyperlink" Target="https://docs.scipy.org/doc/scipy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Vari%C3%A2ncia" TargetMode="External"/><Relationship Id="rId8" Type="http://schemas.openxmlformats.org/officeDocument/2006/relationships/hyperlink" Target="https://pt.wikipedia.org/wiki/Vari%C3%A2nc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