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A6678"/>
          <w:spacing w:val="20"/>
          <w:sz w:val="16"/>
          <w:szCs w:val="16"/>
        </w:rPr>
        <w:t xml:space="preserve">ÁREA TÉCNICA · ATENCIÓN PRIMARIA DE SALUD</w:t>
      </w:r>
    </w:p>
    <w:p>
      <w:pPr>
        <w:pBdr>
          <w:bottom w:val="single" w:color="0D5FBF" w:sz="16" w:space="6"/>
        </w:pBdr>
        <w:spacing w:after="60"/>
      </w:pPr>
      <w:r>
        <w:rPr>
          <w:rFonts w:ascii="Calibri" w:cs="Calibri" w:eastAsia="Calibri" w:hAnsi="Calibri"/>
          <w:b/>
          <w:bCs/>
          <w:color w:val="0D5FBF"/>
          <w:sz w:val="40"/>
          <w:szCs w:val="40"/>
        </w:rPr>
        <w:t xml:space="preserve">Evaluación de Pie Diabético — Red APS Tongoy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Establecimientos: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CESFAM Tongoy (DEIS 105321) y PSR Guanaqueros (DEIS 105405) — APS rural costera, comuna de Coquimbo.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Fuente: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Registros Estadísticos Mensuales (REM), Serie P — hoja P4 (población bajo control cardiovascular), DEIS/MINSAL.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Cortes analizados: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diciembre 2024 (P12), diciembre 2025 (P12) y junio 2026 (P06).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Fecha del informe: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septiembre 2026.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D5FBF"/>
          <w:sz w:val="28"/>
          <w:szCs w:val="28"/>
        </w:rPr>
        <w:t xml:space="preserve">1. Resumen ejecutivo</w:t>
      </w:r>
    </w:p>
    <w:p>
      <w:pPr>
        <w:spacing w:after="12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Todo el proceso de evaluación de pie diabético se registra en la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Serie P (población bajo control), hoja P4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; por lo tanto se monitorea por cortes semestrales (junio/diciembre) y no a través de la producción mensual. Al corte más reciente (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junio 2026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), la red mantiene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850 personas con diabetes tipo 2 bajo control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, de las cuales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531 (62%)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cuentan con evaluación vigente del pie según la pauta de estimación de riesgo de ulceración.</w:t>
      </w:r>
    </w:p>
    <w:p>
      <w:pPr>
        <w:spacing w:after="12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El hallazgo central es la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instalación del proceso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: la cobertura de evaluación pasó de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11% (dic-2024) a 82% (dic-2025)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. De las personas evaluadas, cerca de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1 de cada 5 se ubica en riesgo alto o máximo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de úlcera, subpoblación que concentra el daño evitable junto a las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7 personas con amputación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registradas. La compensación metabólica (HbA1c&lt;7%) se mantiene en torno al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32%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, dejando un grupo relevante con mal control que es el de mayor riesgo de lesión.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D5FBF"/>
          <w:sz w:val="28"/>
          <w:szCs w:val="28"/>
        </w:rPr>
        <w:t xml:space="preserve">2. Mapeo del proceso en el REM</w:t>
      </w:r>
    </w:p>
    <w:p>
      <w:pPr>
        <w:spacing w:after="12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El siguiente cuadro muestra dónde vive cada dato del proceso dentro de la hoja P4. La extracción usa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anclaje por etiqueta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(no por celda fija) para resistir los cambios de versión del formulario entre años, verificados 2024–2026.</w:t>
      </w:r>
    </w:p>
    <w:tbl>
      <w:tblPr>
        <w:tblW w:type="dxa" w:w="9360"/>
        <w:tblBorders>
          <w:top w:val="single" w:color="D8DEE8" w:sz="6"/>
          <w:left w:val="single" w:color="D8DEE8" w:sz="6"/>
          <w:bottom w:val="single" w:color="D8DEE8" w:sz="6"/>
          <w:right w:val="single" w:color="D8DEE8" w:sz="6"/>
          <w:insideH w:val="single" w:color="D8DEE8" w:sz="6"/>
          <w:insideV w:val="single" w:color="D8DEE8" w:sz="6"/>
        </w:tblBorders>
      </w:tblPr>
      <w:tblGrid>
        <w:gridCol w:w="3000"/>
        <w:gridCol w:w="1500"/>
        <w:gridCol w:w="3360"/>
        <w:gridCol w:w="1500"/>
      </w:tblGrid>
      <w:tr>
        <w:trPr>
          <w:tblHeader/>
        </w:trPr>
        <w:tc>
          <w:tcPr>
            <w:tcW w:type="dxa" w:w="3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Dato del proceso</w:t>
            </w:r>
          </w:p>
        </w:tc>
        <w:tc>
          <w:tcPr>
            <w:tcW w:type="dxa" w:w="15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Serie/Hoja</w:t>
            </w:r>
          </w:p>
        </w:tc>
        <w:tc>
          <w:tcPr>
            <w:tcW w:type="dxa" w:w="336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Ubicación (etiqueta)</w:t>
            </w:r>
          </w:p>
        </w:tc>
        <w:tc>
          <w:tcPr>
            <w:tcW w:type="dxa" w:w="15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Rol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Personas con DM2 bajo control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 · P4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Sección "Personas bajo control según patología" → "Diabetes Mellitus tipo 2"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Denominador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Compensación (HbA1c&lt;7%)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 · P4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"Personas bajo control por Diabetes Mellitus" → "HbA1c&lt;7%"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Control metabólico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Evaluación vigente del pie (riesgo bajo/moderado/alto/máximo)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 · P4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"Con evaluación vigente del pie según pauta de estimación del riesgo de ulceración" + subfilas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Proceso central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Atención podológica vigente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 · P4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"Personas con diabetes en PSCV" → "Con atención podológica vigente"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Cuidado preventivo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Úlceras activas (curación convencional/avanzada), ayuda de descarga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 · P4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"Con úlceras activas de pie diabético tratadas con curación" + subfilas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Resultado / manejo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Amputación por pie diabético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 · P4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"Con amputación por pie diabético"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Resultado adverso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HbA1c≥9%, insulina, retinopatía, fondo de ojo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 · P4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Sección "Personas con diabetes en PSCV"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Factores asociados</w:t>
            </w:r>
          </w:p>
        </w:tc>
      </w:tr>
    </w:tbl>
    <w:p>
      <w:pPr>
        <w:pBdr>
          <w:left w:val="single" w:color="EDA100" w:sz="18" w:space="8"/>
        </w:pBdr>
        <w:shd w:fill="EEF3FA" w:val="clear"/>
        <w:spacing w:after="120" w:before="120" w:line="264"/>
      </w:pPr>
      <w:r>
        <w:rPr>
          <w:rFonts w:ascii="Calibri" w:cs="Calibri" w:eastAsia="Calibri" w:hAnsi="Calibri"/>
          <w:i/>
          <w:iCs/>
          <w:color w:val="5A6678"/>
          <w:sz w:val="18"/>
          <w:szCs w:val="18"/>
        </w:rPr>
        <w:t xml:space="preserve">Nota metodológica: el DM2 bajo control consolidado a jun-2026 (850) coincide con el PSCV del dashboard REM, lo que valida la extracción. Los cortes P06 (junio) y P12 (diciembre) no son acumulables entre sí.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D5FBF"/>
          <w:sz w:val="28"/>
          <w:szCs w:val="28"/>
        </w:rPr>
        <w:t xml:space="preserve">3. Situación actual y progresión (Serie P 2024 → 2026)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2230"/>
          <w:sz w:val="24"/>
          <w:szCs w:val="24"/>
        </w:rPr>
        <w:t xml:space="preserve">3.1 Consolidado (CESFAM + PSR)</w:t>
      </w:r>
    </w:p>
    <w:tbl>
      <w:tblPr>
        <w:tblW w:type="dxa" w:w="9360"/>
        <w:tblBorders>
          <w:top w:val="single" w:color="D8DEE8" w:sz="6"/>
          <w:left w:val="single" w:color="D8DEE8" w:sz="6"/>
          <w:bottom w:val="single" w:color="D8DEE8" w:sz="6"/>
          <w:right w:val="single" w:color="D8DEE8" w:sz="6"/>
          <w:insideH w:val="single" w:color="D8DEE8" w:sz="6"/>
          <w:insideV w:val="single" w:color="D8DEE8" w:sz="6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Indicador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dic-2024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dic-2025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jun-2026 *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DM2 bajo control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1.098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983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850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Con evaluación de pie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122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807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531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Cobertura de evaluación</w:t>
            </w:r>
          </w:p>
        </w:tc>
        <w:tc>
          <w:tcPr>
            <w:tcW w:type="dxa" w:w="2000"/>
            <w:shd w:fill="FBE9E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11%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82%</w:t>
            </w:r>
          </w:p>
        </w:tc>
        <w:tc>
          <w:tcPr>
            <w:tcW w:type="dxa" w:w="2000"/>
            <w:shd w:fill="FDF3E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62%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Compensados (HbA1c&lt;7%)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317 (29%)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432 (44%)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273 (32%)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Con HbA1c ≥ 9%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s/i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291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153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Atención podológica vigente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488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89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493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A6678"/>
          <w:sz w:val="17"/>
          <w:szCs w:val="17"/>
        </w:rPr>
        <w:t xml:space="preserve">* junio 2026 es un corte de medio año (P06): no es directamente comparable con los cierres de diciembre.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2230"/>
          <w:sz w:val="24"/>
          <w:szCs w:val="24"/>
        </w:rPr>
        <w:t xml:space="preserve">3.2 Estratificación del riesgo de ulceración (personas evaluadas)</w:t>
      </w:r>
    </w:p>
    <w:tbl>
      <w:tblPr>
        <w:tblW w:type="dxa" w:w="9360"/>
        <w:tblBorders>
          <w:top w:val="single" w:color="D8DEE8" w:sz="6"/>
          <w:left w:val="single" w:color="D8DEE8" w:sz="6"/>
          <w:bottom w:val="single" w:color="D8DEE8" w:sz="6"/>
          <w:right w:val="single" w:color="D8DEE8" w:sz="6"/>
          <w:insideH w:val="single" w:color="D8DEE8" w:sz="6"/>
          <w:insideV w:val="single" w:color="D8DEE8" w:sz="6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Nivel de riesgo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dic-2024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dic-2025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jun-2026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Riesgo bajo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562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380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Riesgo moderado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100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Riesgo alto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124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Riesgo máximo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21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3360"/>
            <w:shd w:fill="FDF3E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Alto + máximo (prioritario)</w:t>
            </w:r>
          </w:p>
        </w:tc>
        <w:tc>
          <w:tcPr>
            <w:tcW w:type="dxa" w:w="2000"/>
            <w:shd w:fill="FDF3E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25</w:t>
            </w:r>
          </w:p>
        </w:tc>
        <w:tc>
          <w:tcPr>
            <w:tcW w:type="dxa" w:w="2000"/>
            <w:shd w:fill="FDF3E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145</w:t>
            </w:r>
          </w:p>
        </w:tc>
        <w:tc>
          <w:tcPr>
            <w:tcW w:type="dxa" w:w="2000"/>
            <w:shd w:fill="FDF3E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96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Al corte jun-2026, el grupo de riesgo alto/máximo representa el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18% de las personas evaluadas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. Es la subpoblación que debe concentrar podología, curación avanzada, ayuda de descarga y educación.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1A2230"/>
          <w:sz w:val="24"/>
          <w:szCs w:val="24"/>
        </w:rPr>
        <w:t xml:space="preserve">3.3 CESFAM y PSR por separado (corte jun-2026)</w:t>
      </w:r>
    </w:p>
    <w:tbl>
      <w:tblPr>
        <w:tblW w:type="dxa" w:w="9360"/>
        <w:tblBorders>
          <w:top w:val="single" w:color="D8DEE8" w:sz="6"/>
          <w:left w:val="single" w:color="D8DEE8" w:sz="6"/>
          <w:bottom w:val="single" w:color="D8DEE8" w:sz="6"/>
          <w:right w:val="single" w:color="D8DEE8" w:sz="6"/>
          <w:insideH w:val="single" w:color="D8DEE8" w:sz="6"/>
          <w:insideV w:val="single" w:color="D8DEE8" w:sz="6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Indicador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CESFAM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PSR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Consolidado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DM2 bajo control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639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211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850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Con evaluación de pie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370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161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531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Cobertura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58%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76%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62%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Riesgo alto + máximo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72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24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96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Amputación por pie DM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7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D5FBF"/>
          <w:sz w:val="28"/>
          <w:szCs w:val="28"/>
        </w:rPr>
        <w:t xml:space="preserve">4. Resultados adversos y factores asociados</w:t>
      </w:r>
    </w:p>
    <w:tbl>
      <w:tblPr>
        <w:tblW w:type="dxa" w:w="9360"/>
        <w:tblBorders>
          <w:top w:val="single" w:color="D8DEE8" w:sz="6"/>
          <w:left w:val="single" w:color="D8DEE8" w:sz="6"/>
          <w:bottom w:val="single" w:color="D8DEE8" w:sz="6"/>
          <w:right w:val="single" w:color="D8DEE8" w:sz="6"/>
          <w:insideH w:val="single" w:color="D8DEE8" w:sz="6"/>
          <w:insideV w:val="single" w:color="D8DEE8" w:sz="6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Indicador (consolidado)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dic-2024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dic-2025</w:t>
            </w:r>
          </w:p>
        </w:tc>
        <w:tc>
          <w:tcPr>
            <w:tcW w:type="dxa" w:w="2000"/>
            <w:shd w:fill="EEF3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678"/>
                <w:sz w:val="17"/>
                <w:szCs w:val="17"/>
              </w:rPr>
              <w:t xml:space="preserve">jun-2026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Amputación por pie diabético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BE9E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Úlcera con curación avanzada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En tratamiento con insulina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165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199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186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Retinopatía diabética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108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87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Las amputaciones registradas suben de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3 (dic-2025) a 7 (jun-2026)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. Como se trata de un conteo de prevalencia en la población bajo control, el aumento puede reflejar tanto nuevos eventos como una mejor captación en el registro; en ambos casos, cada caso amerita revisión clínica individual por tratarse de un evento centinela.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D5FBF"/>
          <w:sz w:val="28"/>
          <w:szCs w:val="28"/>
        </w:rPr>
        <w:t xml:space="preserve">5. Interpretación salubrista (APS rural costera)</w:t>
      </w:r>
    </w:p>
    <w:p>
      <w:pPr>
        <w:spacing w:after="12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La evaluación del pie se consolidó como práctica sistemática de la red entre 2024 y 2025, lo que habla de un equipo que instaló la pauta de estimación de riesgo en el flujo del control cardiovascular. En un territorio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rural, disperso y con marcada estacionalidad estival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como Tongoy–Guanaqueros, donde el costo de traslado a la especialidad es alto y la continuidad del cuidado depende del vínculo local, evaluar el pie dentro del propio control es una de las intervenciones más costo-efectivas: permite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anticipar la úlcera antes de que evolucione a amputación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El foco de gestión no es el promedio de cobertura, sino la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cola de riesgo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. Las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96 personas en riesgo alto/máximo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y las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7 con amputación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concentran el daño evitable, y su manejo (podología oportuna, curación avanzada, descarga, educación en autocuidado) es donde la red obtiene el mayor retorno sanitario. A esto se suma un grupo con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HbA1c ≥ 9%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— el perfil metabólico que más rápido evoluciona a lesión —, lo que hace imprescindible tratar el pie y el control glicémico como un mismo problema, no como dos programas separados.</w:t>
      </w:r>
    </w:p>
    <w:p>
      <w:pPr>
        <w:spacing w:after="12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La adherencia en este contexto se juega en el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acceso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más que en la indicación clínica: disponibilidad de horas de podología, insumos de curación avanzada, y logística de rescate (llamado telefónico, rondas a la posta de Guanaqueros) para que las personas de mayor riesgo no abandonen el seguimiento por dificultades de traslado.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D5FBF"/>
          <w:sz w:val="28"/>
          <w:szCs w:val="28"/>
        </w:rPr>
        <w:t xml:space="preserve">6. Recomendaciones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Cerrar la brecha de cobertura: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barrido dirigido a los diabéticos bajo control sin evaluación vigente del pie, priorizando a los de peor control metabólico, hasta acercarse a la meta referencial (≈90%).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Priorizar la cola de riesgo: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agenda protegida de podología, curación avanzada y ayuda de descarga para riesgo alto/máximo, con rescate activo para evitar inasistencias por traslado.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Unir pie y metabolismo: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vincular la evaluación del pie con el manejo intensificado de las personas con HbA1c ≥ 9%, que son las de mayor probabilidad de ulcerarse.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Vigilancia de eventos centinela: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revisión caso a caso de cada amputación y de las úlceras activas, con análisis de causa raíz junto al equipo de Enfermería.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Calidad del registro: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auditar la atención podológica del corte dic-2025 (caída atípica) y estandarizar el llenado de la P4 para que el dato refleje la actividad real.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D5FBF"/>
          <w:sz w:val="28"/>
          <w:szCs w:val="28"/>
        </w:rPr>
        <w:t xml:space="preserve">7. Calidad del dato y limitaciones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La cobertura de evaluación pasó de 11% (dic-2024) a 82% (dic-2025): el salto refleja la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puesta en marcha del registro/proceso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, no un cambio clínico real. El 2024 debe leerse como línea base de implementación.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La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atención podológica vigente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cae a 89 en dic-2025 (frente a 488 y 493 en los otros cortes) en ambos centros: patrón atípico, probable subregistro o brecha de recurso podológico ese corte → verificar con el equipo.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HbA1c ≥ 9% no está disponible en el formato REM 2024 (s/i).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Los cortes P06 (junio) y P12 (diciembre)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no son acumulables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; jun-2026 es parcial y no se compara directamente con los cierres de diciembre.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Las metas se presentan como </w:t>
      </w: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referenciales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 (marco Ley 19.813 / GES) hasta confirmar el valor oficial del año.</w:t>
      </w:r>
    </w:p>
    <w:p>
      <w:pPr>
        <w:spacing w:after="80"/>
      </w:pPr>
    </w:p>
    <w:p>
      <w:pPr>
        <w:pBdr>
          <w:top w:val="single" w:color="D8DEE8" w:sz="6" w:space="6"/>
        </w:pBdr>
        <w:spacing w:before="120"/>
      </w:pPr>
      <w:r>
        <w:rPr>
          <w:rFonts w:ascii="Calibri" w:cs="Calibri" w:eastAsia="Calibri" w:hAnsi="Calibri"/>
          <w:i/>
          <w:iCs/>
          <w:color w:val="5A6678"/>
          <w:sz w:val="16"/>
          <w:szCs w:val="16"/>
        </w:rPr>
        <w:t xml:space="preserve">Fuente: REM Serie P (hoja P4) · DEIS-MINSAL · CESFAM Tongoy 105321 + PSR Guanaqueros 105405 · Cortes dic-2024, dic-2025, jun-2026. Extracción con anclaje por etiqueta (resistente a cambios de versión del formulario).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— Evaluación de Pie Diabético</dc:title>
  <dc:creator>CESFAM Tongoy · Área Técnica</dc:creator>
  <cp:lastModifiedBy>Un-named</cp:lastModifiedBy>
  <cp:revision>1</cp:revision>
  <dcterms:created xsi:type="dcterms:W3CDTF">2026-09-28T14:21:58.642Z</dcterms:created>
  <dcterms:modified xsi:type="dcterms:W3CDTF">2026-09-28T14:21:58.644Z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