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A64EC5" w:rsidP="00CE0B0D" w:rsidRDefault="00FC67BF">
      <w:pPr>
        <w:rPr>
          <w:b/>
          <w:color w:val="1E52A8"/>
          <w:sz w:val="36"/>
          <w:szCs w:val="36"/>
        </w:rPr>
      </w:pPr>
      <w:r>
        <w:rPr>
          <w:noProof/>
          <w:lang w:val="en-US"/>
        </w:rPr>
        <w:drawing>
          <wp:anchor distT="114300" distB="114300" distL="114300" distR="114300" simplePos="false" relativeHeight="251659264" behindDoc="true" locked="false" layoutInCell="true" hidden="false" allowOverlap="true"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a:graphicData uri="http://schemas.openxmlformats.org/drawingml/2006/picture">
                <pic:pic>
                  <pic:nvPicPr>
                    <pic:cNvPr id="0" name="image1.png"/>
                    <pic:cNvPicPr preferRelativeResize="false"/>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Pr="00A64EC5" w:rsidR="008121C5" w:rsidP="00B179CF" w:rsidRDefault="00B179CF">
      <w:pPr>
        <w:rPr>
          <w:i/>
        </w:rPr>
      </w:pPr>
      <w:r>
        <w:rPr>
          <w:b/>
          <w:i/>
        </w:rPr>
        <w:t xml:space="preserve">                                                                                                            </w:t>
      </w:r>
      <w:r w:rsidRPr="00A64EC5" w:rsidR="008121C5">
        <w:rPr>
          <w:b/>
          <w:i/>
        </w:rPr>
        <w:t>N°</w:t>
      </w:r>
      <w:r w:rsidRPr="00A64EC5" w:rsidR="008121C5">
        <w:rPr>
          <w:i/>
        </w:rPr>
        <w:t xml:space="preserve"> 17</w:t>
      </w:r>
      <w:proofErr w:type="spellStart"/>
      <w:r w:rsidRPr="00A64EC5" w:rsidR="008121C5">
        <w:rPr>
          <w:i/>
        </w:rPr>
        <w:t/>
      </w:r>
      <w:proofErr w:type="spellEnd"/>
      <w:r w:rsidRPr="00A64EC5" w:rsidR="008121C5">
        <w:rPr>
          <w:i/>
        </w:rPr>
        <w:t/>
      </w:r>
    </w:p>
    <w:p w:rsidRPr="00A64EC5" w:rsidR="00FC67BF" w:rsidP="00B179CF" w:rsidRDefault="00B179CF">
      <w:pPr>
        <w:rPr>
          <w:i/>
        </w:rPr>
      </w:pPr>
      <w:r>
        <w:rPr>
          <w:b/>
          <w:i/>
        </w:rPr>
        <w:t xml:space="preserve">                                                                                                           </w:t>
      </w:r>
      <w:r w:rsidRPr="00A64EC5" w:rsidR="008121C5">
        <w:rPr>
          <w:b/>
          <w:i/>
        </w:rPr>
        <w:t>Fait le</w:t>
      </w:r>
      <w:r w:rsidRPr="00A64EC5" w:rsidR="008121C5">
        <w:rPr>
          <w:i/>
        </w:rPr>
        <w:t xml:space="preserve"> 20/06/2023</w:t>
      </w:r>
    </w:p>
    <w:p w:rsidRPr="008121C5" w:rsidR="00F40DCC" w:rsidP="00B808D9" w:rsidRDefault="00F40DCC">
      <w:pPr>
        <w:rPr>
          <w:i/>
        </w:rPr>
      </w:pPr>
    </w:p>
    <w:p w:rsidRPr="008D3767" w:rsidR="0061563D" w:rsidP="003D3512" w:rsidRDefault="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18"/>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RDefault="006E3B32">
            <w:pPr>
              <w:widowControl w:val="false"/>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5529"/>
        <w:gridCol w:w="3487"/>
      </w:tblGrid>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Ben Abdelkader</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 xml:space="preserve">Nom </w:t>
            </w:r>
          </w:p>
        </w:tc>
        <w:tc>
          <w:tcPr>
            <w:tcW w:w="3487" w:type="dxa"/>
          </w:tcPr>
          <w:p w:rsidRPr="000F6856" w:rsidR="000F6856" w:rsidP="004E18A9" w:rsidRDefault="000F6856">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Ismail</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54050316</w:t>
            </w:r>
          </w:p>
        </w:tc>
      </w:tr>
      <w:tr w:rsidR="000F6856" w:rsidTr="00805FA5">
        <w:trPr>
          <w:trHeight w:val="21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E-mail</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benabdelkaderismail123@gmail.com</w:t>
            </w:r>
          </w:p>
        </w:tc>
      </w:tr>
      <w:tr w:rsidR="000F6856" w:rsidTr="00805FA5">
        <w:trPr>
          <w:trHeight w:val="227"/>
        </w:trPr>
        <w:tc>
          <w:tcPr>
            <w:tcW w:w="5529" w:type="dxa"/>
          </w:tcPr>
          <w:p w:rsidRPr="000F6856" w:rsidR="000F6856" w:rsidP="004E18A9" w:rsidRDefault="000F6856">
            <w:pPr>
              <w:spacing w:line="360" w:lineRule="auto"/>
              <w:rPr>
                <w:rFonts w:ascii="Arial" w:hAnsi="Arial" w:cs="Arial"/>
                <w:b/>
                <w:bCs/>
              </w:rPr>
            </w:pPr>
            <w:r w:rsidRPr="000F6856">
              <w:rPr>
                <w:rFonts w:ascii="Arial" w:hAnsi="Arial" w:cs="Arial"/>
                <w:b/>
                <w:bCs/>
              </w:rPr>
              <w:t>CIN</w:t>
            </w:r>
          </w:p>
        </w:tc>
        <w:tc>
          <w:tcPr>
            <w:tcW w:w="3487" w:type="dxa"/>
          </w:tcPr>
          <w:p w:rsidRPr="000F6856" w:rsidR="000F6856" w:rsidP="004E18A9" w:rsidRDefault="000F6856">
            <w:pPr>
              <w:spacing w:line="360" w:lineRule="auto"/>
              <w:jc w:val="both"/>
              <w:rPr>
                <w:rFonts w:ascii="Arial" w:hAnsi="Arial" w:cs="Arial"/>
                <w:color w:val="000000" w:themeColor="text1"/>
              </w:rPr>
            </w:pPr>
            <w:r w:rsidRPr="000F6856">
              <w:rPr>
                <w:rFonts w:ascii="Arial" w:hAnsi="Arial" w:cs="Arial"/>
                <w:color w:val="000000" w:themeColor="text1"/>
                <w:lang w:val="en-US"/>
              </w:rPr>
              <w:t>12345699</w:t>
            </w:r>
            <w:proofErr w:type="spellStart"/>
            <w:r w:rsidRPr="000F6856">
              <w:rPr>
                <w:rFonts w:ascii="Arial" w:hAnsi="Arial" w:cs="Arial"/>
                <w:color w:val="000000" w:themeColor="text1"/>
                <w:lang w:val="en-US"/>
              </w:rPr>
              <w:t/>
            </w:r>
            <w:proofErr w:type="spellEnd"/>
            <w:r w:rsidRPr="000F6856">
              <w:rPr>
                <w:rFonts w:ascii="Arial" w:hAnsi="Arial" w:cs="Arial"/>
                <w:color w:val="000000" w:themeColor="text1"/>
                <w:lang w:val="en-US"/>
              </w:rPr>
              <w:t/>
            </w:r>
          </w:p>
        </w:tc>
      </w:tr>
    </w:tbl>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440"/>
        </w:trPr>
        <w:tc>
          <w:tcPr>
            <w:tcW w:w="9028" w:type="dxa"/>
            <w:tcBorders>
              <w:top w:val="single" w:color="D9D9D9" w:sz="12" w:space="0"/>
              <w:left w:val="single" w:color="D9D9D9" w:sz="12" w:space="0"/>
              <w:bottom w:val="single" w:color="D9D9D9" w:sz="12" w:space="0"/>
              <w:right w:val="single" w:color="D9D9D9" w:sz="12"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 xml:space="preserve">Véhicule assuré </w:t>
            </w:r>
          </w:p>
        </w:tc>
      </w:tr>
    </w:tbl>
    <w:p w:rsidR="0061563D" w:rsidP="001E1256" w:rsidRDefault="006E3B32">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usage affaire </w:t>
      </w:r>
      <w:r>
        <w:tab/>
      </w:r>
    </w:p>
    <w:p w:rsidR="0061563D" w:rsidP="001E1256" w:rsidRDefault="006E3B32">
      <w:pPr>
        <w:spacing w:after="160" w:line="240" w:lineRule="auto"/>
        <w:jc w:val="both"/>
      </w:pPr>
      <w:r>
        <w:rPr>
          <w:b/>
        </w:rPr>
        <w:t xml:space="preserve">Puissance </w:t>
      </w:r>
      <w:r>
        <w:tab/>
      </w:r>
      <w:r>
        <w:tab/>
      </w:r>
      <w:r>
        <w:tab/>
      </w:r>
      <w:r>
        <w:tab/>
      </w:r>
      <w:r>
        <w:tab/>
      </w:r>
      <w:r>
        <w:tab/>
      </w:r>
      <w:r>
        <w:tab/>
      </w:r>
      <w:r>
        <w:tab/>
        <w:t>5</w:t>
      </w:r>
    </w:p>
    <w:p w:rsidR="0061563D" w:rsidP="001E1256" w:rsidRDefault="006E3B32">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4</w:t>
      </w:r>
      <w:proofErr w:type="spellStart"/>
      <w:r>
        <w:t/>
      </w:r>
      <w:proofErr w:type="spellEnd"/>
      <w:r>
        <w:t xml:space="preserve"> </w:t>
      </w:r>
    </w:p>
    <w:p w:rsidR="0061563D" w:rsidP="001E1256" w:rsidRDefault="006E3B32">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2023-05-30</w:t>
      </w:r>
    </w:p>
    <w:p w:rsidR="0061563D" w:rsidP="001E1256" w:rsidRDefault="006E3B32">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12000</w:t>
      </w:r>
      <w:proofErr w:type="spellStart"/>
      <w:r>
        <w:t/>
      </w:r>
      <w:proofErr w:type="spellEnd"/>
      <w:r>
        <w:t xml:space="preserve"> </w:t>
      </w:r>
    </w:p>
    <w:p w:rsidR="0061563D" w:rsidP="001E1256" w:rsidRDefault="006E3B32">
      <w:pPr>
        <w:spacing w:after="160" w:line="240" w:lineRule="auto"/>
        <w:jc w:val="both"/>
        <w:rPr>
          <w:rFonts w:ascii="Times New Roman" w:hAnsi="Times New Roman" w:eastAsia="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61563D">
        <w:trPr>
          <w:trHeight w:val="253"/>
        </w:trPr>
        <w:tc>
          <w:tcPr>
            <w:tcW w:w="9028" w:type="dxa"/>
            <w:gridSpan w:val="2"/>
            <w:tcBorders>
              <w:top w:val="single" w:color="D9D9D9" w:sz="8" w:space="0"/>
              <w:left w:val="single" w:color="D9D9D9" w:sz="8" w:space="0"/>
              <w:bottom w:val="single" w:color="FFFFFF" w:sz="8" w:space="0"/>
              <w:right w:val="single" w:color="FFFFFF"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b/>
                <w:color w:val="FFFFFF"/>
                <w:sz w:val="26"/>
                <w:szCs w:val="26"/>
              </w:rPr>
            </w:pPr>
            <w:r>
              <w:rPr>
                <w:b/>
                <w:color w:val="FFFFFF"/>
                <w:sz w:val="26"/>
                <w:szCs w:val="26"/>
              </w:rPr>
              <w:t>Garanties et capitaux Pack securite</w:t>
            </w:r>
            <w:r w:rsidR="002C4836">
              <w:rPr>
                <w:b/>
                <w:i/>
                <w:color w:val="FFFFFF"/>
                <w:sz w:val="26"/>
                <w:szCs w:val="26"/>
              </w:rPr>
              <w:t/>
            </w:r>
            <w:r>
              <w:rPr>
                <w:b/>
                <w:i/>
                <w:color w:val="FFFFFF"/>
                <w:sz w:val="26"/>
                <w:szCs w:val="26"/>
              </w:rPr>
              <w:t/>
            </w:r>
            <w:r>
              <w:rPr>
                <w:b/>
                <w:color w:val="FFFFFF"/>
                <w:sz w:val="26"/>
                <w:szCs w:val="26"/>
              </w:rPr>
              <w:t xml:space="preserve"> </w:t>
            </w:r>
          </w:p>
        </w:tc>
      </w:tr>
      <w:tr w:rsidR="0061563D">
        <w:trPr>
          <w:trHeight w:val="240"/>
        </w:trPr>
        <w:tc>
          <w:tcPr>
            <w:tcW w:w="4514" w:type="dxa"/>
            <w:tcBorders>
              <w:top w:val="single" w:color="FFFFFF" w:sz="8" w:space="0"/>
              <w:left w:val="single" w:color="D9D9D9" w:sz="8" w:space="0"/>
              <w:bottom w:val="single" w:color="D9D9D9" w:sz="8" w:space="0"/>
              <w:right w:val="single" w:color="1E52A8"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1E52A8" w:sz="8" w:space="0"/>
              <w:bottom w:val="single" w:color="D9D9D9" w:sz="8" w:space="0"/>
              <w:right w:val="single" w:color="D9D9D9" w:sz="8" w:space="0"/>
            </w:tcBorders>
            <w:shd w:val="clear" w:color="auto" w:fill="1E52A8"/>
            <w:tcMar>
              <w:top w:w="43" w:type="dxa"/>
              <w:left w:w="43" w:type="dxa"/>
              <w:bottom w:w="43" w:type="dxa"/>
              <w:right w:w="43" w:type="dxa"/>
            </w:tcMar>
          </w:tcPr>
          <w:p w:rsidR="0061563D" w:rsidP="001E1256" w:rsidRDefault="006E3B32">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61563D" w:rsidP="001E1256" w:rsidRDefault="006E3B32">
      <w:pPr>
        <w:spacing w:after="160" w:line="240" w:lineRule="auto"/>
        <w:jc w:val="both"/>
      </w:pPr>
      <w:r>
        <w:rPr>
          <w:b/>
        </w:rPr>
        <w:t>Responsabilité civile</w:t>
      </w:r>
      <w:r>
        <w:t xml:space="preserve"> </w:t>
      </w:r>
      <w:r>
        <w:tab/>
      </w:r>
      <w:r>
        <w:tab/>
      </w:r>
      <w:r>
        <w:tab/>
      </w:r>
      <w:r>
        <w:tab/>
      </w:r>
      <w:r>
        <w:tab/>
      </w:r>
      <w:r>
        <w:tab/>
        <w:t>105000</w:t>
      </w:r>
    </w:p>
    <w:p w:rsidR="0061563D" w:rsidP="001E1256" w:rsidRDefault="006E3B32">
      <w:pPr>
        <w:spacing w:after="160" w:line="240" w:lineRule="auto"/>
        <w:jc w:val="both"/>
      </w:pPr>
      <w:r>
        <w:rPr>
          <w:b/>
        </w:rPr>
        <w:t>Assistance 24/7</w:t>
      </w:r>
      <w:r>
        <w:tab/>
      </w:r>
      <w:r>
        <w:tab/>
      </w:r>
      <w:r>
        <w:tab/>
      </w:r>
      <w:r>
        <w:tab/>
      </w:r>
      <w:r>
        <w:tab/>
      </w:r>
      <w:r>
        <w:tab/>
      </w:r>
      <w:r>
        <w:tab/>
        <w:t>120000</w:t>
      </w:r>
    </w:p>
    <w:p w:rsidR="0061563D" w:rsidP="001E1256" w:rsidRDefault="006E3B32">
      <w:pPr>
        <w:spacing w:after="160" w:line="240" w:lineRule="auto"/>
        <w:jc w:val="both"/>
      </w:pPr>
      <w:r>
        <w:rPr>
          <w:b/>
        </w:rPr>
        <w:t>Protection juridique</w:t>
      </w:r>
      <w:r>
        <w:tab/>
      </w:r>
      <w:r>
        <w:tab/>
      </w:r>
      <w:r>
        <w:tab/>
      </w:r>
      <w:r>
        <w:tab/>
      </w:r>
      <w:r>
        <w:tab/>
      </w:r>
      <w:r>
        <w:tab/>
      </w:r>
      <w:r>
        <w:tab/>
        <w:t>175000</w:t>
      </w:r>
    </w:p>
    <w:p w:rsidR="0061563D" w:rsidP="001E1256" w:rsidRDefault="006E3B32">
      <w:pPr>
        <w:spacing w:after="160" w:line="240" w:lineRule="auto"/>
        <w:jc w:val="both"/>
      </w:pPr>
      <w:r>
        <w:rPr>
          <w:b/>
        </w:rPr>
        <w:t>Garantie dommages</w:t>
      </w:r>
      <w:r>
        <w:t xml:space="preserve"> </w:t>
      </w:r>
      <w:r>
        <w:tab/>
      </w:r>
      <w:r>
        <w:tab/>
      </w:r>
      <w:r>
        <w:tab/>
      </w:r>
      <w:r>
        <w:tab/>
      </w:r>
      <w:r>
        <w:tab/>
      </w:r>
      <w:r>
        <w:tab/>
        <w:t>----</w:t>
      </w:r>
    </w:p>
    <w:p w:rsidR="0061563D" w:rsidP="001E1256" w:rsidRDefault="006E3B32">
      <w:pPr>
        <w:spacing w:after="160" w:line="240" w:lineRule="auto"/>
        <w:jc w:val="both"/>
      </w:pPr>
      <w:r>
        <w:rPr>
          <w:b/>
        </w:rPr>
        <w:t>Vol et incendie</w:t>
      </w:r>
      <w:r>
        <w:rPr>
          <w:b/>
        </w:rPr>
        <w:tab/>
      </w:r>
      <w:r>
        <w:tab/>
      </w:r>
      <w:r>
        <w:tab/>
      </w:r>
      <w:r>
        <w:tab/>
      </w:r>
      <w:r>
        <w:tab/>
      </w:r>
      <w:r>
        <w:tab/>
      </w:r>
      <w:r>
        <w:tab/>
        <w:t>----</w:t>
      </w:r>
    </w:p>
    <w:p w:rsidR="0061563D" w:rsidP="001E1256" w:rsidRDefault="006E3B32">
      <w:pPr>
        <w:spacing w:after="160" w:line="240" w:lineRule="auto"/>
        <w:jc w:val="both"/>
      </w:pPr>
      <w:r>
        <w:rPr>
          <w:b/>
        </w:rPr>
        <w:t xml:space="preserve">Assurance tous risque </w:t>
      </w:r>
      <w:r>
        <w:tab/>
      </w:r>
      <w:r>
        <w:tab/>
      </w:r>
      <w:r>
        <w:tab/>
      </w:r>
      <w:r>
        <w:tab/>
      </w:r>
      <w:r>
        <w:tab/>
      </w:r>
      <w:r>
        <w:tab/>
        <w:t>----</w:t>
      </w:r>
    </w:p>
    <w:p w:rsidR="0061563D" w:rsidP="001E1256" w:rsidRDefault="006E3B32">
      <w:pPr>
        <w:spacing w:after="160" w:line="240" w:lineRule="auto"/>
        <w:jc w:val="both"/>
      </w:pPr>
      <w:r>
        <w:rPr>
          <w:b/>
        </w:rPr>
        <w:t>Franchise modulable</w:t>
      </w:r>
      <w:r>
        <w:tab/>
      </w:r>
      <w:r>
        <w:tab/>
      </w:r>
      <w:r>
        <w:tab/>
      </w:r>
      <w:r>
        <w:tab/>
      </w:r>
      <w:r>
        <w:tab/>
      </w:r>
      <w:r>
        <w:tab/>
        <w:t>----</w:t>
      </w:r>
    </w:p>
    <w:tbl>
      <w:tblPr>
        <w:tblStyle w:val="a2"/>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9029"/>
      </w:tblGrid>
      <w:tr w:rsidR="0061563D">
        <w:trPr>
          <w:trHeight w:val="763"/>
        </w:trPr>
        <w:tc>
          <w:tcPr>
            <w:tcW w:w="9028" w:type="dxa"/>
            <w:tcBorders>
              <w:top w:val="single" w:color="D9D9D9" w:sz="18" w:space="0"/>
              <w:left w:val="single" w:color="D9D9D9" w:sz="18" w:space="0"/>
              <w:bottom w:val="single" w:color="D9D9D9" w:sz="18" w:space="0"/>
              <w:right w:val="single" w:color="D9D9D9" w:sz="18" w:space="0"/>
            </w:tcBorders>
            <w:shd w:val="clear" w:color="auto" w:fill="1E52A8"/>
            <w:tcMar>
              <w:top w:w="100" w:type="dxa"/>
              <w:left w:w="100" w:type="dxa"/>
              <w:bottom w:w="100" w:type="dxa"/>
              <w:right w:w="100" w:type="dxa"/>
            </w:tcMar>
          </w:tcPr>
          <w:p w:rsidR="0061563D" w:rsidRDefault="006E3B32">
            <w:pPr>
              <w:widowControl w:val="false"/>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false"/>
              <w:spacing w:line="240" w:lineRule="auto"/>
              <w:jc w:val="center"/>
              <w:rPr>
                <w:b/>
                <w:color w:val="FFFFFF"/>
                <w:sz w:val="28"/>
                <w:szCs w:val="28"/>
                <w:u w:val="single"/>
              </w:rPr>
            </w:pPr>
            <w:r>
              <w:rPr>
                <w:b/>
                <w:color w:val="FFFFFF"/>
                <w:sz w:val="32"/>
                <w:szCs w:val="32"/>
                <w:u w:val="single"/>
              </w:rPr>
              <w:t>0</w:t>
            </w:r>
            <w:r>
              <w:rPr>
                <w:b/>
                <w:i/>
                <w:color w:val="FFFFFF"/>
                <w:sz w:val="32"/>
                <w:szCs w:val="32"/>
                <w:u w:val="single"/>
              </w:rPr>
              <w:t/>
            </w:r>
            <w:r>
              <w:rPr>
                <w:b/>
                <w:color w:val="FFFFFF"/>
                <w:sz w:val="32"/>
                <w:szCs w:val="32"/>
                <w:u w:val="single"/>
              </w:rPr>
              <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fontTable.xml" Type="http://schemas.openxmlformats.org/officeDocument/2006/relationships/fontTable" Id="rId8"/>
    <Relationship Target="webSettings.xml" Type="http://schemas.openxmlformats.org/officeDocument/2006/relationships/webSettings" Id="rId3"/>
    <Relationship Target="footer1.xml" Type="http://schemas.openxmlformats.org/officeDocument/2006/relationships/footer" Id="rId7"/>
    <Relationship Target="settings.xml" Type="http://schemas.openxmlformats.org/officeDocument/2006/relationships/settings" Id="rId2"/>
    <Relationship Target="styles.xml" Type="http://schemas.openxmlformats.org/officeDocument/2006/relationships/styles" Id="rId1"/>
    <Relationship Target="media/image1.png" Type="http://schemas.openxmlformats.org/officeDocument/2006/relationships/image" Id="rId6"/>
    <Relationship Target="endnotes.xml" Type="http://schemas.openxmlformats.org/officeDocument/2006/relationships/endnotes" Id="rId5"/>
    <Relationship Target="footnotes.xml" Type="http://schemas.openxmlformats.org/officeDocument/2006/relationships/footnotes" Id="rId4"/>
    <Relationship Target="theme/theme1.xml" Type="http://schemas.openxmlformats.org/officeDocument/2006/relationships/theme" Id="rId9"/>
</Relationships>

</file>

<file path=word/_rels/settings.xml.rels><?xml version="1.0" encoding="UTF-8" standalone="yes"?>
<Relationships xmlns="http://schemas.openxmlformats.org/package/2006/relationships">
    <Relationship TargetMode="External" Target="file:///C:\Users\zizou\Downloads\New%20folder\InsuranceBackEnd\PROJET\src\main\resources\DevisFiles\temp2.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