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 vs CG Comparison Table</w:t>
      </w:r>
    </w:p>
    <w:p>
      <w:pPr>
        <w:jc w:val="center"/>
      </w:pPr>
      <w:r>
        <w:rPr>
          <w:i/>
          <w:sz w:val="20"/>
        </w:rPr>
        <w:t>Structured observation comparison across the six analytic categories developed in Stage 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4104"/>
        <w:gridCol w:w="3888"/>
        <w:gridCol w:w="3816"/>
      </w:tblGrid>
      <w:tr>
        <w:tc>
          <w:tcPr>
            <w:tcW w:type="dxa" w:w="3600"/>
            <w:shd w:fill="0F4C5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00"/>
            <w:shd w:fill="0F4C5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Experimental Group (EG)</w:t>
            </w:r>
          </w:p>
        </w:tc>
        <w:tc>
          <w:tcPr>
            <w:tcW w:type="dxa" w:w="3600"/>
            <w:shd w:fill="0F4C5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Control Group (CG)</w:t>
            </w:r>
          </w:p>
        </w:tc>
        <w:tc>
          <w:tcPr>
            <w:tcW w:type="dxa" w:w="3600"/>
            <w:shd w:fill="0F4C5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Contrast / Interpretation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DCEFF2"/>
          </w:tcPr>
          <w:p>
            <w:r>
              <w:rPr>
                <w:b/>
                <w:color w:val="0F4C5C"/>
                <w:sz w:val="17"/>
              </w:rPr>
              <w:t>Implementation Fidelity and Feedback Structure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ICM becomes increasingly faithful across time: collaborative drafting, coded feedback, decoding, peer exchange, and by Weeks 4–6 full cycle closure including presentation and reflection.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Traditional correction remains stable: individual drafting, direct written correction, and model-text copying. No real revision cycle develops.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EG shows a revision-based process; CG remains correction-and-copy based.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6F8"/>
          </w:tcPr>
          <w:p>
            <w:r>
              <w:rPr>
                <w:b/>
                <w:color w:val="0F4C5C"/>
                <w:sz w:val="17"/>
              </w:rPr>
              <w:t>Student Engagement with Feedback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Engagement rises from promising early involvement in Week 1 to very high, sustained participation by Weeks 4 and 6. Students actively process feedback.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Engagement is low at baseline and declines further by Week 6. Students comply behaviourally but engage minimally with corrections.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EG shows active cognitive engagement; CG shows orderly but passive compliance.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DCEFF2"/>
          </w:tcPr>
          <w:p>
            <w:r>
              <w:rPr>
                <w:b/>
                <w:color w:val="0F4C5C"/>
                <w:sz w:val="17"/>
              </w:rPr>
              <w:t>Peer Interaction and Collaborative Revision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Peer work emerges in Week 1, becomes structured in Week 4, and is fully routinized by Week 6, including within-group discussion and across-group exchange.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Peer interaction is absent. Students work individually even when seated in pairs, and no collaborative revision culture appears.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EG turns correction into a social learning process; CG keeps correction isolated and individual.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6F8"/>
          </w:tcPr>
          <w:p>
            <w:r>
              <w:rPr>
                <w:b/>
                <w:color w:val="0F4C5C"/>
                <w:sz w:val="17"/>
              </w:rPr>
              <w:t>Metalinguistic Awareness and Error Processing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Metalanguage begins in limited form in Week 1, becomes frequent by Week 4, and is confident and consistent by Week 6. Symbol confusion disappears over time.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Metalanguage remains absent, and students do not name or discuss error types explicitly.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EG promotes explicit linguistic noticing and interpretation of error; CG does not.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DCEFF2"/>
          </w:tcPr>
          <w:p>
            <w:r>
              <w:rPr>
                <w:b/>
                <w:color w:val="0F4C5C"/>
                <w:sz w:val="17"/>
              </w:rPr>
              <w:t>Learner Autonomy and Revision Transfer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Autonomy develops from partial, confirmation-dependent revision in Week 1 to independent revision and visible transfer in Weeks 4 and 6.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Students wait for teacher correction, do not revise meaningfully, and show no transfer from corrections to later writing.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BFC"/>
          </w:tcPr>
          <w:p>
            <w:r>
              <w:rPr>
                <w:sz w:val="17"/>
              </w:rPr>
              <w:t>EG fosters self-correction and revision culture; CG maintains dependence and blocks transfer.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6F8"/>
          </w:tcPr>
          <w:p>
            <w:r>
              <w:rPr>
                <w:b/>
                <w:color w:val="0F4C5C"/>
                <w:sz w:val="17"/>
              </w:rPr>
              <w:t>Teacher Role and Classroom Mediation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Teacher shifts from guided facilitation in Week 1 to a mainly prompting and observational role by Weeks 4 and 6.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Teacher remains the main corrector and model provider throughout, with little mediation of peer learning.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FFF"/>
          </w:tcPr>
          <w:p>
            <w:r>
              <w:rPr>
                <w:sz w:val="17"/>
              </w:rPr>
              <w:t>EG teacher role gradually decentralizes authority; CG teacher role centralizes correction and dependence.</w:t>
            </w:r>
          </w:p>
        </w:tc>
      </w:tr>
    </w:tbl>
    <w:p>
      <w:r>
        <w:rPr>
          <w:b/>
        </w:rPr>
        <w:t xml:space="preserve">Use: </w:t>
      </w:r>
      <w:r>
        <w:t>Store this file in Qualitative_Analysis/08_Matrices/ and use it when drafting the cross-case results narrative.</w:t>
      </w:r>
    </w:p>
    <w:sectPr w:rsidR="00FC693F" w:rsidRPr="0006063C" w:rsidSect="00034616">
      <w:pgSz w:w="15840" w:h="12240" w:orient="landscape"/>
      <w:pgMar w:top="79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F4C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