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NSL-KDD Network Intrusion Detection</w:t>
      </w:r>
    </w:p>
    <w:p>
      <w:pPr>
        <w:jc w:val="center"/>
      </w:pPr>
      <w:r>
        <w:rPr>
          <w:b/>
          <w:sz w:val="30"/>
        </w:rPr>
        <w:t>MSc Practical Machine Learning Project Report</w:t>
      </w:r>
    </w:p>
    <w:p>
      <w:pPr>
        <w:jc w:val="center"/>
      </w:pPr>
      <w:r>
        <w:t>Binary classification using Logistic Regression, K-Nearest Neighbors, and Decision Tree</w:t>
      </w:r>
    </w:p>
    <w:p>
      <w:r>
        <w:br/>
      </w:r>
    </w:p>
    <w:p>
      <w:pPr>
        <w:jc w:val="center"/>
      </w:pPr>
      <w:r>
        <w:rPr>
          <w:i/>
        </w:rPr>
        <w:t>Report based on the supplied notebook workflow and screenshots of executed results.</w:t>
      </w:r>
    </w:p>
    <w:p>
      <w:r>
        <w:br w:type="page"/>
      </w:r>
    </w:p>
    <w:p>
      <w:pPr>
        <w:pStyle w:val="Heading1"/>
      </w:pPr>
      <w:r>
        <w:t>Abstract</w:t>
      </w:r>
    </w:p>
    <w:p>
      <w:r>
        <w:t>This project develops and compares three supervised machine-learning classifiers for binary network intrusion detection using the NSL-KDD dataset. Each connection record is classified as Normal (0) or Attack (1). The workflow preserves the previously selected feature-processing decisions, including removal of constant and selected correlated features, numeric mappings for protocol_type and flag, removal of service, MinMax scaling, and SMOTE resampling of the training data. To reduce evaluation leakage, the dataset is split before scaling, and SMOTE is applied only to the training partition. Validation results are used to select model configurations; the held-out test partition is used for final evaluation. In the supplied results, Decision Tree achieves the strongest overall test performance, with 99.54% accuracy and 99.51% attack F1-score. KNN is a close second, while Logistic Regression has lower attack recall and F1-score but remains a strong linear baseline.</w:t>
      </w:r>
    </w:p>
    <w:p>
      <w:pPr>
        <w:pStyle w:val="Heading1"/>
      </w:pPr>
      <w:r>
        <w:t>1. Introduction and objective</w:t>
      </w:r>
    </w:p>
    <w:p>
      <w:r>
        <w:t>Network intrusion detection systems (IDS) analyse network-connection characteristics to identify potentially malicious activity. False negatives are particularly important because they represent attacks that the system fails to detect; false positives can also be costly because legitimate connections may be flagged as attacks. For that reason, model evaluation should consider attack precision, attack recall, F1-score, balanced accuracy, and confusion matrices in addition to overall accuracy.</w:t>
      </w:r>
    </w:p>
    <w:p>
      <w:r>
        <w:t>The objective is to compare Logistic Regression, K-Nearest Neighbors (KNN), and Decision Tree for a binary task: distinguish normal network connections from attack connections. The models are compared using a stratified train/validation/test design, with model selection based on validation attack F1-score and final reporting based on the held-out test set.</w:t>
      </w:r>
    </w:p>
    <w:p>
      <w:pPr>
        <w:pStyle w:val="Heading1"/>
      </w:pPr>
      <w:r>
        <w:t>2. Dataset and target definition</w:t>
      </w:r>
    </w:p>
    <w:p>
      <w:r>
        <w:t>The notebook expects an NSL-KDD-style CSV named nsl_kdd.csv. It defines the standard 41 connection-feature names plus the class target when the file is headerless and contains 42 columns. If a header is present, column names are normalised to lowercase and common target-column alternatives (label, target, or attack) are considered.</w:t>
      </w:r>
    </w:p>
    <w:p>
      <w:r>
        <w:t>The original class labels are normalised by stripping whitespace, converting to lowercase, and removing a trailing period. The binary target is then created as follows: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rFonts w:ascii="Arial" w:hAnsi="Arial"/>
                <w:b/>
                <w:color w:val="FFFFFF"/>
                <w:sz w:val="18"/>
              </w:rPr>
              <w:t>Original label condition</w:t>
            </w:r>
          </w:p>
        </w:tc>
        <w:tc>
          <w:tcPr>
            <w:tcW w:type="dxa" w:w="3312"/>
            <w:vAlign w:val="center"/>
            <w:shd w:fill="1F4E79"/>
          </w:tcPr>
          <w:p>
            <w:pPr>
              <w:spacing w:after="0"/>
            </w:pPr>
            <w:r/>
            <w:r>
              <w:rPr>
                <w:rFonts w:ascii="Arial" w:hAnsi="Arial"/>
                <w:b/>
                <w:color w:val="FFFFFF"/>
                <w:sz w:val="18"/>
              </w:rPr>
              <w:t>Binary target</w:t>
            </w:r>
          </w:p>
        </w:tc>
        <w:tc>
          <w:tcPr>
            <w:tcW w:type="dxa" w:w="3312"/>
            <w:vAlign w:val="center"/>
            <w:shd w:fill="1F4E79"/>
          </w:tcPr>
          <w:p>
            <w:pPr>
              <w:spacing w:after="0"/>
            </w:pPr>
            <w:r/>
            <w:r>
              <w:rPr>
                <w:rFonts w:ascii="Arial" w:hAnsi="Arial"/>
                <w:b/>
                <w:color w:val="FFFFFF"/>
                <w:sz w:val="18"/>
              </w:rPr>
              <w:t>Meaning</w:t>
            </w:r>
          </w:p>
        </w:tc>
      </w:tr>
      <w:tr>
        <w:tc>
          <w:tcPr>
            <w:tcW w:type="dxa" w:w="3312"/>
            <w:vAlign w:val="center"/>
          </w:tcPr>
          <w:p>
            <w:pPr>
              <w:spacing w:after="0"/>
            </w:pPr>
            <w:r/>
            <w:r>
              <w:rPr>
                <w:rFonts w:ascii="Arial" w:hAnsi="Arial"/>
                <w:b w:val="0"/>
                <w:sz w:val="18"/>
              </w:rPr>
              <w:t>class equals 'normal'</w:t>
            </w:r>
          </w:p>
        </w:tc>
        <w:tc>
          <w:tcPr>
            <w:tcW w:type="dxa" w:w="3312"/>
            <w:vAlign w:val="center"/>
          </w:tcPr>
          <w:p>
            <w:pPr>
              <w:spacing w:after="0"/>
            </w:pPr>
            <w:r/>
            <w:r>
              <w:rPr>
                <w:rFonts w:ascii="Arial" w:hAnsi="Arial"/>
                <w:b w:val="0"/>
                <w:sz w:val="18"/>
              </w:rPr>
              <w:t>0</w:t>
            </w:r>
          </w:p>
        </w:tc>
        <w:tc>
          <w:tcPr>
            <w:tcW w:type="dxa" w:w="3312"/>
            <w:vAlign w:val="center"/>
          </w:tcPr>
          <w:p>
            <w:pPr>
              <w:spacing w:after="0"/>
            </w:pPr>
            <w:r/>
            <w:r>
              <w:rPr>
                <w:rFonts w:ascii="Arial" w:hAnsi="Arial"/>
                <w:b w:val="0"/>
                <w:sz w:val="18"/>
              </w:rPr>
              <w:t>Normal connection</w:t>
            </w:r>
          </w:p>
        </w:tc>
      </w:tr>
      <w:tr>
        <w:tc>
          <w:tcPr>
            <w:tcW w:type="dxa" w:w="3312"/>
            <w:vAlign w:val="center"/>
            <w:shd w:fill="EAF1F8"/>
          </w:tcPr>
          <w:p>
            <w:pPr>
              <w:spacing w:after="0"/>
            </w:pPr>
            <w:r/>
            <w:r>
              <w:rPr>
                <w:rFonts w:ascii="Arial" w:hAnsi="Arial"/>
                <w:b w:val="0"/>
                <w:sz w:val="18"/>
              </w:rPr>
              <w:t>Any other observed class label</w:t>
            </w:r>
          </w:p>
        </w:tc>
        <w:tc>
          <w:tcPr>
            <w:tcW w:type="dxa" w:w="3312"/>
            <w:vAlign w:val="center"/>
            <w:shd w:fill="EAF1F8"/>
          </w:tcPr>
          <w:p>
            <w:pPr>
              <w:spacing w:after="0"/>
            </w:pPr>
            <w:r/>
            <w:r>
              <w:rPr>
                <w:rFonts w:ascii="Arial" w:hAnsi="Arial"/>
                <w:b w:val="0"/>
                <w:sz w:val="18"/>
              </w:rPr>
              <w:t>1</w:t>
            </w:r>
          </w:p>
        </w:tc>
        <w:tc>
          <w:tcPr>
            <w:tcW w:type="dxa" w:w="3312"/>
            <w:vAlign w:val="center"/>
            <w:shd w:fill="EAF1F8"/>
          </w:tcPr>
          <w:p>
            <w:pPr>
              <w:spacing w:after="0"/>
            </w:pPr>
            <w:r/>
            <w:r>
              <w:rPr>
                <w:rFonts w:ascii="Arial" w:hAnsi="Arial"/>
                <w:b w:val="0"/>
                <w:sz w:val="18"/>
              </w:rPr>
              <w:t>Attack connection</w:t>
            </w:r>
          </w:p>
        </w:tc>
      </w:tr>
    </w:tbl>
    <w:p/>
    <w:p>
      <w:r>
        <w:t>This is a binary IDS experiment, not a multiclass attack-family classifier. All recognised non-normal labels are grouped into the Attack class. The notebook prints the original label counts and the binary class distribution so that the label transformation can be checked.</w:t>
      </w:r>
    </w:p>
    <w:p>
      <w:pPr>
        <w:pStyle w:val="Heading1"/>
      </w:pPr>
      <w:r>
        <w:t>3. Data inspection and preprocessing</w:t>
      </w:r>
    </w:p>
    <w:p>
      <w:pPr>
        <w:pStyle w:val="Heading2"/>
      </w:pPr>
      <w:r>
        <w:t>3.1 File and schema validation</w:t>
      </w:r>
    </w:p>
    <w:p>
      <w:r>
        <w:t>The notebook checks that nsl_kdd.csv exists and that a class target can be identified. It supports headerless files with 42 columns and reports the detected shape and column names. These checks reduce the risk of silently assigning incorrect feature names or training against the wrong target.</w:t>
      </w:r>
    </w:p>
    <w:p>
      <w:pPr>
        <w:pStyle w:val="Heading2"/>
      </w:pPr>
      <w:r>
        <w:t>3.2 Missing-value handling: important implementation detail</w:t>
      </w:r>
    </w:p>
    <w:p>
      <w:r>
        <w:t>The code runs df.dropna(axis='columns', how='any'). Despite some notebook commentary referring to removing rows with missing values, this exact operation removes every column that contains at least one missing value; it does not remove rows. It then removes constant columns. This report describes the code that was actually executed. The notebook should keep its explanation consistent with this behaviour, and the impact of dropping any partially missing column should be reviewed if the dataset contains such columns.</w:t>
      </w:r>
    </w:p>
    <w:p>
      <w:r>
        <w:t>After this column-wise cleaning, the modelling pipeline uses SimpleImputer(strategy='median') on the feature matrix. The imputer is fitted on the training partition only and then applied to validation/test data. Median imputation can handle remaining missing values created by categorical mappings that do not match an expected category. However, because the earlier dropna step removes columns containing missing values before mapping, the imputer is most relevant to any NaNs introduced later by mappings.</w:t>
      </w:r>
    </w:p>
    <w:p>
      <w:pPr>
        <w:pStyle w:val="Heading2"/>
      </w:pPr>
      <w:r>
        <w:t>3.3 Constant-feature removal</w:t>
      </w:r>
    </w:p>
    <w:p>
      <w:r>
        <w:t>The expression df.loc[:, df.nunique(dropna=False) &gt; 1] keeps only columns with more than one unique value. A constant feature provides no variation for a classifier to learn from, so removing it reduces unnecessary input dimensions. The target column is also present at this stage, but the final feature matrix is constructed separately and excludes the original class and the binary target.</w:t>
      </w:r>
    </w:p>
    <w:p>
      <w:pPr>
        <w:pStyle w:val="Heading2"/>
      </w:pPr>
      <w:r>
        <w:t>3.4 Correlated-feature removal</w:t>
      </w:r>
    </w:p>
    <w:p>
      <w:r>
        <w:t>The workflow removes the following eight features, preserving the choices from the earlier notebook: num_root, srv_serror_rate, srv_rerror_rate, dst_host_srv_serror_rate, dst_host_serror_rate, dst_host_rerror_rate, dst_host_srv_rerror_rate, and dst_host_same_srv_rate. The intention is to reduce redundant or strongly correlated predictors. This can simplify the feature space and may reduce redundancy, especially for linear models. The same fixed list is applied rather than selecting new features from the current test results.</w:t>
      </w:r>
    </w:p>
    <w:p>
      <w:pPr>
        <w:pStyle w:val="Heading2"/>
      </w:pPr>
      <w:r>
        <w:t>3.5 Categorical mapping and service removal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rFonts w:ascii="Arial" w:hAnsi="Arial"/>
                <w:b/>
                <w:color w:val="FFFFFF"/>
                <w:sz w:val="17"/>
              </w:rPr>
              <w:t>Feature</w:t>
            </w:r>
          </w:p>
        </w:tc>
        <w:tc>
          <w:tcPr>
            <w:tcW w:type="dxa" w:w="3312"/>
            <w:vAlign w:val="center"/>
            <w:shd w:fill="1F4E79"/>
          </w:tcPr>
          <w:p>
            <w:pPr>
              <w:spacing w:after="0"/>
            </w:pPr>
            <w:r/>
            <w:r>
              <w:rPr>
                <w:rFonts w:ascii="Arial" w:hAnsi="Arial"/>
                <w:b/>
                <w:color w:val="FFFFFF"/>
                <w:sz w:val="17"/>
              </w:rPr>
              <w:t>Mapping / treatment</w:t>
            </w:r>
          </w:p>
        </w:tc>
        <w:tc>
          <w:tcPr>
            <w:tcW w:type="dxa" w:w="3312"/>
            <w:vAlign w:val="center"/>
            <w:shd w:fill="1F4E79"/>
          </w:tcPr>
          <w:p>
            <w:pPr>
              <w:spacing w:after="0"/>
            </w:pPr>
            <w:r/>
            <w:r>
              <w:rPr>
                <w:rFonts w:ascii="Arial" w:hAnsi="Arial"/>
                <w:b/>
                <w:color w:val="FFFFFF"/>
                <w:sz w:val="17"/>
              </w:rPr>
              <w:t>Purpose and implication</w:t>
            </w:r>
          </w:p>
        </w:tc>
      </w:tr>
      <w:tr>
        <w:tc>
          <w:tcPr>
            <w:tcW w:type="dxa" w:w="3312"/>
            <w:vAlign w:val="center"/>
          </w:tcPr>
          <w:p>
            <w:pPr>
              <w:spacing w:after="0"/>
            </w:pPr>
            <w:r/>
            <w:r>
              <w:rPr>
                <w:rFonts w:ascii="Arial" w:hAnsi="Arial"/>
                <w:b w:val="0"/>
                <w:sz w:val="17"/>
              </w:rPr>
              <w:t>protocol_type</w:t>
            </w:r>
          </w:p>
        </w:tc>
        <w:tc>
          <w:tcPr>
            <w:tcW w:type="dxa" w:w="3312"/>
            <w:vAlign w:val="center"/>
          </w:tcPr>
          <w:p>
            <w:pPr>
              <w:spacing w:after="0"/>
            </w:pPr>
            <w:r/>
            <w:r>
              <w:rPr>
                <w:rFonts w:ascii="Arial" w:hAnsi="Arial"/>
                <w:b w:val="0"/>
                <w:sz w:val="17"/>
              </w:rPr>
              <w:t>icmp → 0; tcp → 1; udp → 2</w:t>
            </w:r>
          </w:p>
        </w:tc>
        <w:tc>
          <w:tcPr>
            <w:tcW w:type="dxa" w:w="3312"/>
            <w:vAlign w:val="center"/>
          </w:tcPr>
          <w:p>
            <w:pPr>
              <w:spacing w:after="0"/>
            </w:pPr>
            <w:r/>
            <w:r>
              <w:rPr>
                <w:rFonts w:ascii="Arial" w:hAnsi="Arial"/>
                <w:b w:val="0"/>
                <w:sz w:val="17"/>
              </w:rPr>
              <w:t>Converts protocol categories to numeric values accepted by the estimators.</w:t>
            </w:r>
          </w:p>
        </w:tc>
      </w:tr>
      <w:tr>
        <w:tc>
          <w:tcPr>
            <w:tcW w:type="dxa" w:w="3312"/>
            <w:vAlign w:val="center"/>
            <w:shd w:fill="EAF1F8"/>
          </w:tcPr>
          <w:p>
            <w:pPr>
              <w:spacing w:after="0"/>
            </w:pPr>
            <w:r/>
            <w:r>
              <w:rPr>
                <w:rFonts w:ascii="Arial" w:hAnsi="Arial"/>
                <w:b w:val="0"/>
                <w:sz w:val="17"/>
              </w:rPr>
              <w:t>flag</w:t>
            </w:r>
          </w:p>
        </w:tc>
        <w:tc>
          <w:tcPr>
            <w:tcW w:type="dxa" w:w="3312"/>
            <w:vAlign w:val="center"/>
            <w:shd w:fill="EAF1F8"/>
          </w:tcPr>
          <w:p>
            <w:pPr>
              <w:spacing w:after="0"/>
            </w:pPr>
            <w:r/>
            <w:r>
              <w:rPr>
                <w:rFonts w:ascii="Arial" w:hAnsi="Arial"/>
                <w:b w:val="0"/>
                <w:sz w:val="17"/>
              </w:rPr>
              <w:t>SF → 0; S0 → 1; REJ → 2; RSTR → 3; RSTO → 4; SH → 5; S1 → 6; S2 → 7; RSTOS0 → 8; S3 → 9; OTH → 10</w:t>
            </w:r>
          </w:p>
        </w:tc>
        <w:tc>
          <w:tcPr>
            <w:tcW w:type="dxa" w:w="3312"/>
            <w:vAlign w:val="center"/>
            <w:shd w:fill="EAF1F8"/>
          </w:tcPr>
          <w:p>
            <w:pPr>
              <w:spacing w:after="0"/>
            </w:pPr>
            <w:r/>
            <w:r>
              <w:rPr>
                <w:rFonts w:ascii="Arial" w:hAnsi="Arial"/>
                <w:b w:val="0"/>
                <w:sz w:val="17"/>
              </w:rPr>
              <w:t>Encodes connection-state categories as numeric values.</w:t>
            </w:r>
          </w:p>
        </w:tc>
      </w:tr>
      <w:tr>
        <w:tc>
          <w:tcPr>
            <w:tcW w:type="dxa" w:w="3312"/>
            <w:vAlign w:val="center"/>
          </w:tcPr>
          <w:p>
            <w:pPr>
              <w:spacing w:after="0"/>
            </w:pPr>
            <w:r/>
            <w:r>
              <w:rPr>
                <w:rFonts w:ascii="Arial" w:hAnsi="Arial"/>
                <w:b w:val="0"/>
                <w:sz w:val="17"/>
              </w:rPr>
              <w:t>service</w:t>
            </w:r>
          </w:p>
        </w:tc>
        <w:tc>
          <w:tcPr>
            <w:tcW w:type="dxa" w:w="3312"/>
            <w:vAlign w:val="center"/>
          </w:tcPr>
          <w:p>
            <w:pPr>
              <w:spacing w:after="0"/>
            </w:pPr>
            <w:r/>
            <w:r>
              <w:rPr>
                <w:rFonts w:ascii="Arial" w:hAnsi="Arial"/>
                <w:b w:val="0"/>
                <w:sz w:val="17"/>
              </w:rPr>
              <w:t>Dropped</w:t>
            </w:r>
          </w:p>
        </w:tc>
        <w:tc>
          <w:tcPr>
            <w:tcW w:type="dxa" w:w="3312"/>
            <w:vAlign w:val="center"/>
          </w:tcPr>
          <w:p>
            <w:pPr>
              <w:spacing w:after="0"/>
            </w:pPr>
            <w:r/>
            <w:r>
              <w:rPr>
                <w:rFonts w:ascii="Arial" w:hAnsi="Arial"/>
                <w:b w:val="0"/>
                <w:sz w:val="17"/>
              </w:rPr>
              <w:t>Preserves the prior workflow; removes service identity from the model inputs.</w:t>
            </w:r>
          </w:p>
        </w:tc>
      </w:tr>
    </w:tbl>
    <w:p/>
    <w:p>
      <w:r>
        <w:t>After mapping, the code checks that all remaining predictors are numeric. It raises an error if non-numeric columns remain and reports missing values that may have been introduced by unmapped categories. One methodological caveat is that integer mapping gives categories an artificial order and distance—for example, tcp is coded as 1 and udp as 2. This preserves the requested previous approach, but one-hot encoding could be explored as a future experiment, not silently substituted into this run.</w:t>
      </w:r>
    </w:p>
    <w:p>
      <w:pPr>
        <w:pStyle w:val="Heading1"/>
      </w:pPr>
      <w:r>
        <w:t>4. Exploratory data analysis</w:t>
      </w:r>
    </w:p>
    <w:p>
      <w:r>
        <w:t>The notebook plots a correlation heatmap using numeric columns and a bar chart of the Normal/Attack distribution. The heatmap is a diagnostic for relationships among numeric variables; correlation alone does not establish that a feature is unnecessary or causal. The class-distribution plot helps show whether the data are imbalanced and motivates the use of SMOTE on training data.</w:t>
      </w:r>
    </w:p>
    <w:p>
      <w:pPr>
        <w:pStyle w:val="Heading1"/>
      </w:pPr>
      <w:r>
        <w:t>5. Train, validation, and test design</w:t>
      </w:r>
    </w:p>
    <w:p>
      <w:r>
        <w:t>The data are split using stratified sampling and random_state=42. First, 15% is reserved as the final test set. The remaining 85% is divided into training and validation portions so that the final proportions are approximately 70% training, 15% validation, and 15% test. Stratification aims to preserve the normal/attack ratio across all partitions.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rFonts w:ascii="Arial" w:hAnsi="Arial"/>
                <w:b/>
                <w:color w:val="FFFFFF"/>
                <w:sz w:val="18"/>
              </w:rPr>
              <w:t>Partition</w:t>
            </w:r>
          </w:p>
        </w:tc>
        <w:tc>
          <w:tcPr>
            <w:tcW w:type="dxa" w:w="3312"/>
            <w:vAlign w:val="center"/>
            <w:shd w:fill="1F4E79"/>
          </w:tcPr>
          <w:p>
            <w:pPr>
              <w:spacing w:after="0"/>
            </w:pPr>
            <w:r/>
            <w:r>
              <w:rPr>
                <w:rFonts w:ascii="Arial" w:hAnsi="Arial"/>
                <w:b/>
                <w:color w:val="FFFFFF"/>
                <w:sz w:val="18"/>
              </w:rPr>
              <w:t>Approximate share</w:t>
            </w:r>
          </w:p>
        </w:tc>
        <w:tc>
          <w:tcPr>
            <w:tcW w:type="dxa" w:w="3312"/>
            <w:vAlign w:val="center"/>
            <w:shd w:fill="1F4E79"/>
          </w:tcPr>
          <w:p>
            <w:pPr>
              <w:spacing w:after="0"/>
            </w:pPr>
            <w:r/>
            <w:r>
              <w:rPr>
                <w:rFonts w:ascii="Arial" w:hAnsi="Arial"/>
                <w:b/>
                <w:color w:val="FFFFFF"/>
                <w:sz w:val="18"/>
              </w:rPr>
              <w:t>Role</w:t>
            </w:r>
          </w:p>
        </w:tc>
      </w:tr>
      <w:tr>
        <w:tc>
          <w:tcPr>
            <w:tcW w:type="dxa" w:w="3312"/>
            <w:vAlign w:val="center"/>
          </w:tcPr>
          <w:p>
            <w:pPr>
              <w:spacing w:after="0"/>
            </w:pPr>
            <w:r/>
            <w:r>
              <w:rPr>
                <w:rFonts w:ascii="Arial" w:hAnsi="Arial"/>
                <w:b w:val="0"/>
                <w:sz w:val="18"/>
              </w:rPr>
              <w:t>Training</w:t>
            </w:r>
          </w:p>
        </w:tc>
        <w:tc>
          <w:tcPr>
            <w:tcW w:type="dxa" w:w="3312"/>
            <w:vAlign w:val="center"/>
          </w:tcPr>
          <w:p>
            <w:pPr>
              <w:spacing w:after="0"/>
            </w:pPr>
            <w:r/>
            <w:r>
              <w:rPr>
                <w:rFonts w:ascii="Arial" w:hAnsi="Arial"/>
                <w:b w:val="0"/>
                <w:sz w:val="18"/>
              </w:rPr>
              <w:t>70%</w:t>
            </w:r>
          </w:p>
        </w:tc>
        <w:tc>
          <w:tcPr>
            <w:tcW w:type="dxa" w:w="3312"/>
            <w:vAlign w:val="center"/>
          </w:tcPr>
          <w:p>
            <w:pPr>
              <w:spacing w:after="0"/>
            </w:pPr>
            <w:r/>
            <w:r>
              <w:rPr>
                <w:rFonts w:ascii="Arial" w:hAnsi="Arial"/>
                <w:b w:val="0"/>
                <w:sz w:val="18"/>
              </w:rPr>
              <w:t>Fit preprocessing, apply SMOTE, and train model candidates.</w:t>
            </w:r>
          </w:p>
        </w:tc>
      </w:tr>
      <w:tr>
        <w:tc>
          <w:tcPr>
            <w:tcW w:type="dxa" w:w="3312"/>
            <w:vAlign w:val="center"/>
            <w:shd w:fill="EAF1F8"/>
          </w:tcPr>
          <w:p>
            <w:pPr>
              <w:spacing w:after="0"/>
            </w:pPr>
            <w:r/>
            <w:r>
              <w:rPr>
                <w:rFonts w:ascii="Arial" w:hAnsi="Arial"/>
                <w:b w:val="0"/>
                <w:sz w:val="18"/>
              </w:rPr>
              <w:t>Validation</w:t>
            </w:r>
          </w:p>
        </w:tc>
        <w:tc>
          <w:tcPr>
            <w:tcW w:type="dxa" w:w="3312"/>
            <w:vAlign w:val="center"/>
            <w:shd w:fill="EAF1F8"/>
          </w:tcPr>
          <w:p>
            <w:pPr>
              <w:spacing w:after="0"/>
            </w:pPr>
            <w:r/>
            <w:r>
              <w:rPr>
                <w:rFonts w:ascii="Arial" w:hAnsi="Arial"/>
                <w:b w:val="0"/>
                <w:sz w:val="18"/>
              </w:rPr>
              <w:t>15%</w:t>
            </w:r>
          </w:p>
        </w:tc>
        <w:tc>
          <w:tcPr>
            <w:tcW w:type="dxa" w:w="3312"/>
            <w:vAlign w:val="center"/>
            <w:shd w:fill="EAF1F8"/>
          </w:tcPr>
          <w:p>
            <w:pPr>
              <w:spacing w:after="0"/>
            </w:pPr>
            <w:r/>
            <w:r>
              <w:rPr>
                <w:rFonts w:ascii="Arial" w:hAnsi="Arial"/>
                <w:b w:val="0"/>
                <w:sz w:val="18"/>
              </w:rPr>
              <w:t>Compare model settings and select the best candidate within each family.</w:t>
            </w:r>
          </w:p>
        </w:tc>
      </w:tr>
      <w:tr>
        <w:tc>
          <w:tcPr>
            <w:tcW w:type="dxa" w:w="3312"/>
            <w:vAlign w:val="center"/>
          </w:tcPr>
          <w:p>
            <w:pPr>
              <w:spacing w:after="0"/>
            </w:pPr>
            <w:r/>
            <w:r>
              <w:rPr>
                <w:rFonts w:ascii="Arial" w:hAnsi="Arial"/>
                <w:b w:val="0"/>
                <w:sz w:val="18"/>
              </w:rPr>
              <w:t>Test</w:t>
            </w:r>
          </w:p>
        </w:tc>
        <w:tc>
          <w:tcPr>
            <w:tcW w:type="dxa" w:w="3312"/>
            <w:vAlign w:val="center"/>
          </w:tcPr>
          <w:p>
            <w:pPr>
              <w:spacing w:after="0"/>
            </w:pPr>
            <w:r/>
            <w:r>
              <w:rPr>
                <w:rFonts w:ascii="Arial" w:hAnsi="Arial"/>
                <w:b w:val="0"/>
                <w:sz w:val="18"/>
              </w:rPr>
              <w:t>15%</w:t>
            </w:r>
          </w:p>
        </w:tc>
        <w:tc>
          <w:tcPr>
            <w:tcW w:type="dxa" w:w="3312"/>
            <w:vAlign w:val="center"/>
          </w:tcPr>
          <w:p>
            <w:pPr>
              <w:spacing w:after="0"/>
            </w:pPr>
            <w:r/>
            <w:r>
              <w:rPr>
                <w:rFonts w:ascii="Arial" w:hAnsi="Arial"/>
                <w:b w:val="0"/>
                <w:sz w:val="18"/>
              </w:rPr>
              <w:t>Final held-out evaluation after model selection; not used for tuning.</w:t>
            </w:r>
          </w:p>
        </w:tc>
      </w:tr>
    </w:tbl>
    <w:p/>
    <w:p>
      <w:pPr>
        <w:pStyle w:val="Heading2"/>
      </w:pPr>
      <w:r>
        <w:t>5.1 Imputation and MinMax scaling</w:t>
      </w:r>
    </w:p>
    <w:p>
      <w:r>
        <w:t>SimpleImputer(strategy='median') fills missing numeric values using medians learned from training data. MinMaxScaler then rescales each feature based on the training partition's observed minimum and maximum. Validation and test values are transformed using those fitted objects rather than being used to fit them. This prevents information from the held-out partitions from influencing preprocessing. Scaling is especially important for KNN because its predictions depend on distances; it is also used consistently for Logistic Regression and Decision Tree in this experiment.</w:t>
      </w:r>
    </w:p>
    <w:p>
      <w:pPr>
        <w:pStyle w:val="Heading2"/>
      </w:pPr>
      <w:r>
        <w:t>5.2 SMOTE class balancing</w:t>
      </w:r>
    </w:p>
    <w:p>
      <w:r>
        <w:t>SMOTE (Synthetic Minority Over-sampling Technique) creates synthetic minority-class examples using nearby minority examples. It is applied only after the training data have been imputed and scaled. The notebook chooses k_neighbors as the smaller of 5 and one less than the minority-class count, so the setting remains valid when the minority class is small. Validation and test sets are left unchanged, allowing performance to be measured on data with their original class distribution.</w:t>
      </w:r>
    </w:p>
    <w:p>
      <w:r>
        <w:t>Applying SMOTE before splitting would allow synthetic samples related to held-out observations to enter training and could inflate evaluation results. The current workflow avoids that leakage. SMOTE can still create synthetic points that are not realistic network records, so its effect should be interpreted as a modelling choice rather than a guarantee of better real-world detection.</w:t>
      </w:r>
    </w:p>
    <w:p>
      <w:pPr>
        <w:pStyle w:val="Heading1"/>
      </w:pPr>
      <w:r>
        <w:t>6. Models and hyperparameter selection</w:t>
      </w:r>
    </w:p>
    <w:p>
      <w:pPr>
        <w:pStyle w:val="Heading2"/>
      </w:pPr>
      <w:r>
        <w:t>6.1 Logistic Regression</w:t>
      </w:r>
    </w:p>
    <w:p>
      <w:r>
        <w:t>Logistic Regression provides a linear decision boundary for the binary target. The notebook tests regularisation strengths C = 0.1, 1.0, and 10.0, with max_iter=2000. Smaller C applies stronger regularisation; larger C permits a less-regularised fit. The selected candidate is the one with the highest validation attack F1-score, with attack recall as the secondary sorting criterion.</w:t>
      </w:r>
    </w:p>
    <w:p>
      <w:pPr>
        <w:pStyle w:val="Heading2"/>
      </w:pPr>
      <w:r>
        <w:t>6.2 K-Nearest Neighbors</w:t>
      </w:r>
    </w:p>
    <w:p>
      <w:r>
        <w:t>KNN classifies a record using the labels of nearby training examples in feature space. The notebook tests k = 3, 5, 7, and 11, with uniform and distance weighting. Uniform weighting gives each neighbour equal influence; distance weighting gives closer neighbours greater influence. MinMax scaling is particularly important because otherwise large-scale features can dominate distance calculations.</w:t>
      </w:r>
    </w:p>
    <w:p>
      <w:pPr>
        <w:pStyle w:val="Heading2"/>
      </w:pPr>
      <w:r>
        <w:t>6.3 Decision Tree</w:t>
      </w:r>
    </w:p>
    <w:p>
      <w:r>
        <w:t>A Decision Tree learns a sequence of feature-based splits and can represent nonlinear decision rules and interactions. The notebook tests max_depth values of None, 10, 20, and 30, together with min_samples_leaf values of 1, 5, and 10. Limiting depth and increasing the minimum leaf size can reduce overfitting. The selected candidate is chosen using the same validation F1-first rule as the other model families.</w:t>
      </w:r>
    </w:p>
    <w:p>
      <w:r>
        <w:t>For each candidate, the notebook records training time and prediction time as well as classification metrics. The final selected settings are retrained using the combined training and validation partitions. The imputer, scaler, and SMOTE operation are refitted/applied to this combined partition only before final testing.</w:t>
      </w:r>
    </w:p>
    <w:p>
      <w:pPr>
        <w:pStyle w:val="Heading1"/>
      </w:pPr>
      <w:r>
        <w:t>7. Evaluation metrics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rFonts w:ascii="Arial" w:hAnsi="Arial"/>
                <w:b/>
                <w:color w:val="FFFFFF"/>
                <w:sz w:val="17"/>
              </w:rPr>
              <w:t>Metric</w:t>
            </w:r>
          </w:p>
        </w:tc>
        <w:tc>
          <w:tcPr>
            <w:tcW w:type="dxa" w:w="4968"/>
            <w:vAlign w:val="center"/>
            <w:shd w:fill="1F4E79"/>
          </w:tcPr>
          <w:p>
            <w:pPr>
              <w:spacing w:after="0"/>
            </w:pPr>
            <w:r/>
            <w:r>
              <w:rPr>
                <w:rFonts w:ascii="Arial" w:hAnsi="Arial"/>
                <w:b/>
                <w:color w:val="FFFFFF"/>
                <w:sz w:val="17"/>
              </w:rPr>
              <w:t>Interpretation in this IDS task</w:t>
            </w:r>
          </w:p>
        </w:tc>
      </w:tr>
      <w:tr>
        <w:tc>
          <w:tcPr>
            <w:tcW w:type="dxa" w:w="4968"/>
            <w:vAlign w:val="center"/>
          </w:tcPr>
          <w:p>
            <w:pPr>
              <w:spacing w:after="0"/>
            </w:pPr>
            <w:r/>
            <w:r>
              <w:rPr>
                <w:rFonts w:ascii="Arial" w:hAnsi="Arial"/>
                <w:b w:val="0"/>
                <w:sz w:val="17"/>
              </w:rPr>
              <w:t>Accuracy</w:t>
            </w:r>
          </w:p>
        </w:tc>
        <w:tc>
          <w:tcPr>
            <w:tcW w:type="dxa" w:w="4968"/>
            <w:vAlign w:val="center"/>
          </w:tcPr>
          <w:p>
            <w:pPr>
              <w:spacing w:after="0"/>
            </w:pPr>
            <w:r/>
            <w:r>
              <w:rPr>
                <w:rFonts w:ascii="Arial" w:hAnsi="Arial"/>
                <w:b w:val="0"/>
                <w:sz w:val="17"/>
              </w:rPr>
              <w:t>Fraction of all connections classified correctly. Can be misleading if classes are imbalanced.</w:t>
            </w:r>
          </w:p>
        </w:tc>
      </w:tr>
      <w:tr>
        <w:tc>
          <w:tcPr>
            <w:tcW w:type="dxa" w:w="4968"/>
            <w:vAlign w:val="center"/>
            <w:shd w:fill="EAF1F8"/>
          </w:tcPr>
          <w:p>
            <w:pPr>
              <w:spacing w:after="0"/>
            </w:pPr>
            <w:r/>
            <w:r>
              <w:rPr>
                <w:rFonts w:ascii="Arial" w:hAnsi="Arial"/>
                <w:b w:val="0"/>
                <w:sz w:val="17"/>
              </w:rPr>
              <w:t>Attack precision</w:t>
            </w:r>
          </w:p>
        </w:tc>
        <w:tc>
          <w:tcPr>
            <w:tcW w:type="dxa" w:w="4968"/>
            <w:vAlign w:val="center"/>
            <w:shd w:fill="EAF1F8"/>
          </w:tcPr>
          <w:p>
            <w:pPr>
              <w:spacing w:after="0"/>
            </w:pPr>
            <w:r/>
            <w:r>
              <w:rPr>
                <w:rFonts w:ascii="Arial" w:hAnsi="Arial"/>
                <w:b w:val="0"/>
                <w:sz w:val="17"/>
              </w:rPr>
              <w:t>Of connections predicted as attacks, the fraction that are truly attacks. Lower precision means more false alarms.</w:t>
            </w:r>
          </w:p>
        </w:tc>
      </w:tr>
      <w:tr>
        <w:tc>
          <w:tcPr>
            <w:tcW w:type="dxa" w:w="4968"/>
            <w:vAlign w:val="center"/>
          </w:tcPr>
          <w:p>
            <w:pPr>
              <w:spacing w:after="0"/>
            </w:pPr>
            <w:r/>
            <w:r>
              <w:rPr>
                <w:rFonts w:ascii="Arial" w:hAnsi="Arial"/>
                <w:b w:val="0"/>
                <w:sz w:val="17"/>
              </w:rPr>
              <w:t>Attack recall / detection rate</w:t>
            </w:r>
          </w:p>
        </w:tc>
        <w:tc>
          <w:tcPr>
            <w:tcW w:type="dxa" w:w="4968"/>
            <w:vAlign w:val="center"/>
          </w:tcPr>
          <w:p>
            <w:pPr>
              <w:spacing w:after="0"/>
            </w:pPr>
            <w:r/>
            <w:r>
              <w:rPr>
                <w:rFonts w:ascii="Arial" w:hAnsi="Arial"/>
                <w:b w:val="0"/>
                <w:sz w:val="17"/>
              </w:rPr>
              <w:t>Of actual attacks, the fraction detected. Lower recall means more attacks are missed.</w:t>
            </w:r>
          </w:p>
        </w:tc>
      </w:tr>
      <w:tr>
        <w:tc>
          <w:tcPr>
            <w:tcW w:type="dxa" w:w="4968"/>
            <w:vAlign w:val="center"/>
            <w:shd w:fill="EAF1F8"/>
          </w:tcPr>
          <w:p>
            <w:pPr>
              <w:spacing w:after="0"/>
            </w:pPr>
            <w:r/>
            <w:r>
              <w:rPr>
                <w:rFonts w:ascii="Arial" w:hAnsi="Arial"/>
                <w:b w:val="0"/>
                <w:sz w:val="17"/>
              </w:rPr>
              <w:t>Attack F1-score</w:t>
            </w:r>
          </w:p>
        </w:tc>
        <w:tc>
          <w:tcPr>
            <w:tcW w:type="dxa" w:w="4968"/>
            <w:vAlign w:val="center"/>
            <w:shd w:fill="EAF1F8"/>
          </w:tcPr>
          <w:p>
            <w:pPr>
              <w:spacing w:after="0"/>
            </w:pPr>
            <w:r/>
            <w:r>
              <w:rPr>
                <w:rFonts w:ascii="Arial" w:hAnsi="Arial"/>
                <w:b w:val="0"/>
                <w:sz w:val="17"/>
              </w:rPr>
              <w:t>Harmonic mean of attack precision and recall; balances false alarms and missed attacks.</w:t>
            </w:r>
          </w:p>
        </w:tc>
      </w:tr>
      <w:tr>
        <w:tc>
          <w:tcPr>
            <w:tcW w:type="dxa" w:w="4968"/>
            <w:vAlign w:val="center"/>
          </w:tcPr>
          <w:p>
            <w:pPr>
              <w:spacing w:after="0"/>
            </w:pPr>
            <w:r/>
            <w:r>
              <w:rPr>
                <w:rFonts w:ascii="Arial" w:hAnsi="Arial"/>
                <w:b w:val="0"/>
                <w:sz w:val="17"/>
              </w:rPr>
              <w:t>Balanced accuracy</w:t>
            </w:r>
          </w:p>
        </w:tc>
        <w:tc>
          <w:tcPr>
            <w:tcW w:type="dxa" w:w="4968"/>
            <w:vAlign w:val="center"/>
          </w:tcPr>
          <w:p>
            <w:pPr>
              <w:spacing w:after="0"/>
            </w:pPr>
            <w:r/>
            <w:r>
              <w:rPr>
                <w:rFonts w:ascii="Arial" w:hAnsi="Arial"/>
                <w:b w:val="0"/>
                <w:sz w:val="17"/>
              </w:rPr>
              <w:t>Average recall across the two classes, giving each class equal weight.</w:t>
            </w:r>
          </w:p>
        </w:tc>
      </w:tr>
      <w:tr>
        <w:tc>
          <w:tcPr>
            <w:tcW w:type="dxa" w:w="4968"/>
            <w:vAlign w:val="center"/>
            <w:shd w:fill="EAF1F8"/>
          </w:tcPr>
          <w:p>
            <w:pPr>
              <w:spacing w:after="0"/>
            </w:pPr>
            <w:r/>
            <w:r>
              <w:rPr>
                <w:rFonts w:ascii="Arial" w:hAnsi="Arial"/>
                <w:b w:val="0"/>
                <w:sz w:val="17"/>
              </w:rPr>
              <w:t>ROC-AUC</w:t>
            </w:r>
          </w:p>
        </w:tc>
        <w:tc>
          <w:tcPr>
            <w:tcW w:type="dxa" w:w="4968"/>
            <w:vAlign w:val="center"/>
            <w:shd w:fill="EAF1F8"/>
          </w:tcPr>
          <w:p>
            <w:pPr>
              <w:spacing w:after="0"/>
            </w:pPr>
            <w:r/>
            <w:r>
              <w:rPr>
                <w:rFonts w:ascii="Arial" w:hAnsi="Arial"/>
                <w:b w:val="0"/>
                <w:sz w:val="17"/>
              </w:rPr>
              <w:t>Measures ranking/discrimination across thresholds using true-positive and false-positive rates.</w:t>
            </w:r>
          </w:p>
        </w:tc>
      </w:tr>
      <w:tr>
        <w:tc>
          <w:tcPr>
            <w:tcW w:type="dxa" w:w="4968"/>
            <w:vAlign w:val="center"/>
          </w:tcPr>
          <w:p>
            <w:pPr>
              <w:spacing w:after="0"/>
            </w:pPr>
            <w:r/>
            <w:r>
              <w:rPr>
                <w:rFonts w:ascii="Arial" w:hAnsi="Arial"/>
                <w:b w:val="0"/>
                <w:sz w:val="17"/>
              </w:rPr>
              <w:t>PR-AUC / average precision</w:t>
            </w:r>
          </w:p>
        </w:tc>
        <w:tc>
          <w:tcPr>
            <w:tcW w:type="dxa" w:w="4968"/>
            <w:vAlign w:val="center"/>
          </w:tcPr>
          <w:p>
            <w:pPr>
              <w:spacing w:after="0"/>
            </w:pPr>
            <w:r/>
            <w:r>
              <w:rPr>
                <w:rFonts w:ascii="Arial" w:hAnsi="Arial"/>
                <w:b w:val="0"/>
                <w:sz w:val="17"/>
              </w:rPr>
              <w:t>Summarises precision-recall behaviour and is useful when positive-class detection is central.</w:t>
            </w:r>
          </w:p>
        </w:tc>
      </w:tr>
    </w:tbl>
    <w:p/>
    <w:p>
      <w:r>
        <w:t>Confusion matrices use rows for true labels and columns for predicted labels. With Normal as class 0 and Attack as class 1, the lower-left cell represents attacks incorrectly predicted as normal (false negatives), while the upper-right cell represents normal connections incorrectly predicted as attacks (false positives).</w:t>
      </w:r>
    </w:p>
    <w:p>
      <w:pPr>
        <w:pStyle w:val="Heading1"/>
      </w:pPr>
      <w:r>
        <w:t>8. Results</w:t>
      </w:r>
    </w:p>
    <w:p>
      <w:r>
        <w:t>The values below are transcribed from the screenshots supplied with the project. Validation metrics are shown separately from final held-out test metrics. Values are rounded to four decimal places in the notebook.</w:t>
      </w:r>
    </w:p>
    <w:p>
      <w:pPr>
        <w:pStyle w:val="Heading2"/>
      </w:pPr>
      <w:r>
        <w:t>8.1 Validation comparison</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shd w:fill="1F4E79"/>
          </w:tcPr>
          <w:p>
            <w:pPr>
              <w:spacing w:after="0"/>
            </w:pPr>
            <w:r/>
            <w:r>
              <w:rPr>
                <w:rFonts w:ascii="Arial" w:hAnsi="Arial"/>
                <w:b/>
                <w:color w:val="FFFFFF"/>
                <w:sz w:val="16"/>
              </w:rPr>
              <w:t>Model</w:t>
            </w:r>
          </w:p>
        </w:tc>
        <w:tc>
          <w:tcPr>
            <w:tcW w:type="dxa" w:w="1242"/>
            <w:vAlign w:val="center"/>
            <w:shd w:fill="1F4E79"/>
          </w:tcPr>
          <w:p>
            <w:pPr>
              <w:spacing w:after="0"/>
            </w:pPr>
            <w:r/>
            <w:r>
              <w:rPr>
                <w:rFonts w:ascii="Arial" w:hAnsi="Arial"/>
                <w:b/>
                <w:color w:val="FFFFFF"/>
                <w:sz w:val="16"/>
              </w:rPr>
              <w:t>Accuracy</w:t>
            </w:r>
          </w:p>
        </w:tc>
        <w:tc>
          <w:tcPr>
            <w:tcW w:type="dxa" w:w="1242"/>
            <w:vAlign w:val="center"/>
            <w:shd w:fill="1F4E79"/>
          </w:tcPr>
          <w:p>
            <w:pPr>
              <w:spacing w:after="0"/>
            </w:pPr>
            <w:r/>
            <w:r>
              <w:rPr>
                <w:rFonts w:ascii="Arial" w:hAnsi="Arial"/>
                <w:b/>
                <w:color w:val="FFFFFF"/>
                <w:sz w:val="16"/>
              </w:rPr>
              <w:t>Attack precision</w:t>
            </w:r>
          </w:p>
        </w:tc>
        <w:tc>
          <w:tcPr>
            <w:tcW w:type="dxa" w:w="1242"/>
            <w:vAlign w:val="center"/>
            <w:shd w:fill="1F4E79"/>
          </w:tcPr>
          <w:p>
            <w:pPr>
              <w:spacing w:after="0"/>
            </w:pPr>
            <w:r/>
            <w:r>
              <w:rPr>
                <w:rFonts w:ascii="Arial" w:hAnsi="Arial"/>
                <w:b/>
                <w:color w:val="FFFFFF"/>
                <w:sz w:val="16"/>
              </w:rPr>
              <w:t>Attack recall</w:t>
            </w:r>
          </w:p>
        </w:tc>
        <w:tc>
          <w:tcPr>
            <w:tcW w:type="dxa" w:w="1242"/>
            <w:vAlign w:val="center"/>
            <w:shd w:fill="1F4E79"/>
          </w:tcPr>
          <w:p>
            <w:pPr>
              <w:spacing w:after="0"/>
            </w:pPr>
            <w:r/>
            <w:r>
              <w:rPr>
                <w:rFonts w:ascii="Arial" w:hAnsi="Arial"/>
                <w:b/>
                <w:color w:val="FFFFFF"/>
                <w:sz w:val="16"/>
              </w:rPr>
              <w:t>Attack F1</w:t>
            </w:r>
          </w:p>
        </w:tc>
        <w:tc>
          <w:tcPr>
            <w:tcW w:type="dxa" w:w="1242"/>
            <w:vAlign w:val="center"/>
            <w:shd w:fill="1F4E79"/>
          </w:tcPr>
          <w:p>
            <w:pPr>
              <w:spacing w:after="0"/>
            </w:pPr>
            <w:r/>
            <w:r>
              <w:rPr>
                <w:rFonts w:ascii="Arial" w:hAnsi="Arial"/>
                <w:b/>
                <w:color w:val="FFFFFF"/>
                <w:sz w:val="16"/>
              </w:rPr>
              <w:t>Balanced accuracy</w:t>
            </w:r>
          </w:p>
        </w:tc>
        <w:tc>
          <w:tcPr>
            <w:tcW w:type="dxa" w:w="1242"/>
            <w:vAlign w:val="center"/>
            <w:shd w:fill="1F4E79"/>
          </w:tcPr>
          <w:p>
            <w:pPr>
              <w:spacing w:after="0"/>
            </w:pPr>
            <w:r/>
            <w:r>
              <w:rPr>
                <w:rFonts w:ascii="Arial" w:hAnsi="Arial"/>
                <w:b/>
                <w:color w:val="FFFFFF"/>
                <w:sz w:val="16"/>
              </w:rPr>
              <w:t>ROC-AUC</w:t>
            </w:r>
          </w:p>
        </w:tc>
        <w:tc>
          <w:tcPr>
            <w:tcW w:type="dxa" w:w="1242"/>
            <w:vAlign w:val="center"/>
            <w:shd w:fill="1F4E79"/>
          </w:tcPr>
          <w:p>
            <w:pPr>
              <w:spacing w:after="0"/>
            </w:pPr>
            <w:r/>
            <w:r>
              <w:rPr>
                <w:rFonts w:ascii="Arial" w:hAnsi="Arial"/>
                <w:b/>
                <w:color w:val="FFFFFF"/>
                <w:sz w:val="16"/>
              </w:rPr>
              <w:t>PR-AUC</w:t>
            </w:r>
          </w:p>
        </w:tc>
      </w:tr>
      <w:tr>
        <w:tc>
          <w:tcPr>
            <w:tcW w:type="dxa" w:w="1242"/>
            <w:vAlign w:val="center"/>
          </w:tcPr>
          <w:p>
            <w:pPr>
              <w:spacing w:after="0"/>
            </w:pPr>
            <w:r/>
            <w:r>
              <w:rPr>
                <w:rFonts w:ascii="Arial" w:hAnsi="Arial"/>
                <w:b w:val="0"/>
                <w:sz w:val="16"/>
              </w:rPr>
              <w:t>Decision Tree</w:t>
            </w:r>
          </w:p>
        </w:tc>
        <w:tc>
          <w:tcPr>
            <w:tcW w:type="dxa" w:w="1242"/>
            <w:vAlign w:val="center"/>
          </w:tcPr>
          <w:p>
            <w:pPr>
              <w:spacing w:after="0"/>
            </w:pPr>
            <w:r/>
            <w:r>
              <w:rPr>
                <w:rFonts w:ascii="Arial" w:hAnsi="Arial"/>
                <w:b w:val="0"/>
                <w:sz w:val="16"/>
              </w:rPr>
              <w:t>0.9952</w:t>
            </w:r>
          </w:p>
        </w:tc>
        <w:tc>
          <w:tcPr>
            <w:tcW w:type="dxa" w:w="1242"/>
            <w:vAlign w:val="center"/>
          </w:tcPr>
          <w:p>
            <w:pPr>
              <w:spacing w:after="0"/>
            </w:pPr>
            <w:r/>
            <w:r>
              <w:rPr>
                <w:rFonts w:ascii="Arial" w:hAnsi="Arial"/>
                <w:b w:val="0"/>
                <w:sz w:val="16"/>
              </w:rPr>
              <w:t>0.9950</w:t>
            </w:r>
          </w:p>
        </w:tc>
        <w:tc>
          <w:tcPr>
            <w:tcW w:type="dxa" w:w="1242"/>
            <w:vAlign w:val="center"/>
          </w:tcPr>
          <w:p>
            <w:pPr>
              <w:spacing w:after="0"/>
            </w:pPr>
            <w:r/>
            <w:r>
              <w:rPr>
                <w:rFonts w:ascii="Arial" w:hAnsi="Arial"/>
                <w:b w:val="0"/>
                <w:sz w:val="16"/>
              </w:rPr>
              <w:t>0.9948</w:t>
            </w:r>
          </w:p>
        </w:tc>
        <w:tc>
          <w:tcPr>
            <w:tcW w:type="dxa" w:w="1242"/>
            <w:vAlign w:val="center"/>
          </w:tcPr>
          <w:p>
            <w:pPr>
              <w:spacing w:after="0"/>
            </w:pPr>
            <w:r/>
            <w:r>
              <w:rPr>
                <w:rFonts w:ascii="Arial" w:hAnsi="Arial"/>
                <w:b w:val="0"/>
                <w:sz w:val="16"/>
              </w:rPr>
              <w:t>0.9949</w:t>
            </w:r>
          </w:p>
        </w:tc>
        <w:tc>
          <w:tcPr>
            <w:tcW w:type="dxa" w:w="1242"/>
            <w:vAlign w:val="center"/>
          </w:tcPr>
          <w:p>
            <w:pPr>
              <w:spacing w:after="0"/>
            </w:pPr>
            <w:r/>
            <w:r>
              <w:rPr>
                <w:rFonts w:ascii="Arial" w:hAnsi="Arial"/>
                <w:b w:val="0"/>
                <w:sz w:val="16"/>
              </w:rPr>
              <w:t>0.9952</w:t>
            </w:r>
          </w:p>
        </w:tc>
        <w:tc>
          <w:tcPr>
            <w:tcW w:type="dxa" w:w="1242"/>
            <w:vAlign w:val="center"/>
          </w:tcPr>
          <w:p>
            <w:pPr>
              <w:spacing w:after="0"/>
            </w:pPr>
            <w:r/>
            <w:r>
              <w:rPr>
                <w:rFonts w:ascii="Arial" w:hAnsi="Arial"/>
                <w:b w:val="0"/>
                <w:sz w:val="16"/>
              </w:rPr>
              <w:t>0.9952</w:t>
            </w:r>
          </w:p>
        </w:tc>
        <w:tc>
          <w:tcPr>
            <w:tcW w:type="dxa" w:w="1242"/>
            <w:vAlign w:val="center"/>
          </w:tcPr>
          <w:p>
            <w:pPr>
              <w:spacing w:after="0"/>
            </w:pPr>
            <w:r/>
            <w:r>
              <w:rPr>
                <w:rFonts w:ascii="Arial" w:hAnsi="Arial"/>
                <w:b w:val="0"/>
                <w:sz w:val="16"/>
              </w:rPr>
              <w:t>0.9922</w:t>
            </w:r>
          </w:p>
        </w:tc>
      </w:tr>
      <w:tr>
        <w:tc>
          <w:tcPr>
            <w:tcW w:type="dxa" w:w="1242"/>
            <w:vAlign w:val="center"/>
            <w:shd w:fill="EAF1F8"/>
          </w:tcPr>
          <w:p>
            <w:pPr>
              <w:spacing w:after="0"/>
            </w:pPr>
            <w:r/>
            <w:r>
              <w:rPr>
                <w:rFonts w:ascii="Arial" w:hAnsi="Arial"/>
                <w:b w:val="0"/>
                <w:sz w:val="16"/>
              </w:rPr>
              <w:t>KNN</w:t>
            </w:r>
          </w:p>
        </w:tc>
        <w:tc>
          <w:tcPr>
            <w:tcW w:type="dxa" w:w="1242"/>
            <w:vAlign w:val="center"/>
            <w:shd w:fill="EAF1F8"/>
          </w:tcPr>
          <w:p>
            <w:pPr>
              <w:spacing w:after="0"/>
            </w:pPr>
            <w:r/>
            <w:r>
              <w:rPr>
                <w:rFonts w:ascii="Arial" w:hAnsi="Arial"/>
                <w:b w:val="0"/>
                <w:sz w:val="16"/>
              </w:rPr>
              <w:t>0.9944</w:t>
            </w:r>
          </w:p>
        </w:tc>
        <w:tc>
          <w:tcPr>
            <w:tcW w:type="dxa" w:w="1242"/>
            <w:vAlign w:val="center"/>
            <w:shd w:fill="EAF1F8"/>
          </w:tcPr>
          <w:p>
            <w:pPr>
              <w:spacing w:after="0"/>
            </w:pPr>
            <w:r/>
            <w:r>
              <w:rPr>
                <w:rFonts w:ascii="Arial" w:hAnsi="Arial"/>
                <w:b w:val="0"/>
                <w:sz w:val="16"/>
              </w:rPr>
              <w:t>0.9939</w:t>
            </w:r>
          </w:p>
        </w:tc>
        <w:tc>
          <w:tcPr>
            <w:tcW w:type="dxa" w:w="1242"/>
            <w:vAlign w:val="center"/>
            <w:shd w:fill="EAF1F8"/>
          </w:tcPr>
          <w:p>
            <w:pPr>
              <w:spacing w:after="0"/>
            </w:pPr>
            <w:r/>
            <w:r>
              <w:rPr>
                <w:rFonts w:ascii="Arial" w:hAnsi="Arial"/>
                <w:b w:val="0"/>
                <w:sz w:val="16"/>
              </w:rPr>
              <w:t>0.9941</w:t>
            </w:r>
          </w:p>
        </w:tc>
        <w:tc>
          <w:tcPr>
            <w:tcW w:type="dxa" w:w="1242"/>
            <w:vAlign w:val="center"/>
            <w:shd w:fill="EAF1F8"/>
          </w:tcPr>
          <w:p>
            <w:pPr>
              <w:spacing w:after="0"/>
            </w:pPr>
            <w:r/>
            <w:r>
              <w:rPr>
                <w:rFonts w:ascii="Arial" w:hAnsi="Arial"/>
                <w:b w:val="0"/>
                <w:sz w:val="16"/>
              </w:rPr>
              <w:t>0.9940</w:t>
            </w:r>
          </w:p>
        </w:tc>
        <w:tc>
          <w:tcPr>
            <w:tcW w:type="dxa" w:w="1242"/>
            <w:vAlign w:val="center"/>
            <w:shd w:fill="EAF1F8"/>
          </w:tcPr>
          <w:p>
            <w:pPr>
              <w:spacing w:after="0"/>
            </w:pPr>
            <w:r/>
            <w:r>
              <w:rPr>
                <w:rFonts w:ascii="Arial" w:hAnsi="Arial"/>
                <w:b w:val="0"/>
                <w:sz w:val="16"/>
              </w:rPr>
              <w:t>0.9944</w:t>
            </w:r>
          </w:p>
        </w:tc>
        <w:tc>
          <w:tcPr>
            <w:tcW w:type="dxa" w:w="1242"/>
            <w:vAlign w:val="center"/>
            <w:shd w:fill="EAF1F8"/>
          </w:tcPr>
          <w:p>
            <w:pPr>
              <w:spacing w:after="0"/>
            </w:pPr>
            <w:r/>
            <w:r>
              <w:rPr>
                <w:rFonts w:ascii="Arial" w:hAnsi="Arial"/>
                <w:b w:val="0"/>
                <w:sz w:val="16"/>
              </w:rPr>
              <w:t>0.9973</w:t>
            </w:r>
          </w:p>
        </w:tc>
        <w:tc>
          <w:tcPr>
            <w:tcW w:type="dxa" w:w="1242"/>
            <w:vAlign w:val="center"/>
            <w:shd w:fill="EAF1F8"/>
          </w:tcPr>
          <w:p>
            <w:pPr>
              <w:spacing w:after="0"/>
            </w:pPr>
            <w:r/>
            <w:r>
              <w:rPr>
                <w:rFonts w:ascii="Arial" w:hAnsi="Arial"/>
                <w:b w:val="0"/>
                <w:sz w:val="16"/>
              </w:rPr>
              <w:t>0.9959</w:t>
            </w:r>
          </w:p>
        </w:tc>
      </w:tr>
      <w:tr>
        <w:tc>
          <w:tcPr>
            <w:tcW w:type="dxa" w:w="1242"/>
            <w:vAlign w:val="center"/>
          </w:tcPr>
          <w:p>
            <w:pPr>
              <w:spacing w:after="0"/>
            </w:pPr>
            <w:r/>
            <w:r>
              <w:rPr>
                <w:rFonts w:ascii="Arial" w:hAnsi="Arial"/>
                <w:b w:val="0"/>
                <w:sz w:val="16"/>
              </w:rPr>
              <w:t>Logistic Regression</w:t>
            </w:r>
          </w:p>
        </w:tc>
        <w:tc>
          <w:tcPr>
            <w:tcW w:type="dxa" w:w="1242"/>
            <w:vAlign w:val="center"/>
          </w:tcPr>
          <w:p>
            <w:pPr>
              <w:spacing w:after="0"/>
            </w:pPr>
            <w:r/>
            <w:r>
              <w:rPr>
                <w:rFonts w:ascii="Arial" w:hAnsi="Arial"/>
                <w:b w:val="0"/>
                <w:sz w:val="16"/>
              </w:rPr>
              <w:t>0.9533</w:t>
            </w:r>
          </w:p>
        </w:tc>
        <w:tc>
          <w:tcPr>
            <w:tcW w:type="dxa" w:w="1242"/>
            <w:vAlign w:val="center"/>
          </w:tcPr>
          <w:p>
            <w:pPr>
              <w:spacing w:after="0"/>
            </w:pPr>
            <w:r/>
            <w:r>
              <w:rPr>
                <w:rFonts w:ascii="Arial" w:hAnsi="Arial"/>
                <w:b w:val="0"/>
                <w:sz w:val="16"/>
              </w:rPr>
              <w:t>0.9554</w:t>
            </w:r>
          </w:p>
        </w:tc>
        <w:tc>
          <w:tcPr>
            <w:tcW w:type="dxa" w:w="1242"/>
            <w:vAlign w:val="center"/>
          </w:tcPr>
          <w:p>
            <w:pPr>
              <w:spacing w:after="0"/>
            </w:pPr>
            <w:r/>
            <w:r>
              <w:rPr>
                <w:rFonts w:ascii="Arial" w:hAnsi="Arial"/>
                <w:b w:val="0"/>
                <w:sz w:val="16"/>
              </w:rPr>
              <w:t>0.9437</w:t>
            </w:r>
          </w:p>
        </w:tc>
        <w:tc>
          <w:tcPr>
            <w:tcW w:type="dxa" w:w="1242"/>
            <w:vAlign w:val="center"/>
          </w:tcPr>
          <w:p>
            <w:pPr>
              <w:spacing w:after="0"/>
            </w:pPr>
            <w:r/>
            <w:r>
              <w:rPr>
                <w:rFonts w:ascii="Arial" w:hAnsi="Arial"/>
                <w:b w:val="0"/>
                <w:sz w:val="16"/>
              </w:rPr>
              <w:t>0.9495</w:t>
            </w:r>
          </w:p>
        </w:tc>
        <w:tc>
          <w:tcPr>
            <w:tcW w:type="dxa" w:w="1242"/>
            <w:vAlign w:val="center"/>
          </w:tcPr>
          <w:p>
            <w:pPr>
              <w:spacing w:after="0"/>
            </w:pPr>
            <w:r/>
            <w:r>
              <w:rPr>
                <w:rFonts w:ascii="Arial" w:hAnsi="Arial"/>
                <w:b w:val="0"/>
                <w:sz w:val="16"/>
              </w:rPr>
              <w:t>0.9527</w:t>
            </w:r>
          </w:p>
        </w:tc>
        <w:tc>
          <w:tcPr>
            <w:tcW w:type="dxa" w:w="1242"/>
            <w:vAlign w:val="center"/>
          </w:tcPr>
          <w:p>
            <w:pPr>
              <w:spacing w:after="0"/>
            </w:pPr>
            <w:r/>
            <w:r>
              <w:rPr>
                <w:rFonts w:ascii="Arial" w:hAnsi="Arial"/>
                <w:b w:val="0"/>
                <w:sz w:val="16"/>
              </w:rPr>
              <w:t>0.9883</w:t>
            </w:r>
          </w:p>
        </w:tc>
        <w:tc>
          <w:tcPr>
            <w:tcW w:type="dxa" w:w="1242"/>
            <w:vAlign w:val="center"/>
          </w:tcPr>
          <w:p>
            <w:pPr>
              <w:spacing w:after="0"/>
            </w:pPr>
            <w:r/>
            <w:r>
              <w:rPr>
                <w:rFonts w:ascii="Arial" w:hAnsi="Arial"/>
                <w:b w:val="0"/>
                <w:sz w:val="16"/>
              </w:rPr>
              <w:t>0.9887</w:t>
            </w:r>
          </w:p>
        </w:tc>
      </w:tr>
    </w:tbl>
    <w:p/>
    <w:p>
      <w:r>
        <w:t>Decision Tree is the validation winner under the notebook's F1-first selection rule, with an attack F1-score of 0.9949. KNN is very close at 0.9940 and has the highest validation ROC-AUC (0.9973) and PR-AUC (0.9959) of the three. Logistic Regression is materially lower on threshold-based classification metrics, although its ROC-AUC and PR-AUC remain high. This difference suggests the nonlinear/tree- or neighbourhood-based approaches fit the classification boundary better under the current features and preprocessing.</w:t>
      </w:r>
    </w:p>
    <w:p>
      <w:pPr>
        <w:pStyle w:val="Heading2"/>
      </w:pPr>
      <w:r>
        <w:t>8.2 Final held-out test comparison</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vAlign w:val="center"/>
            <w:shd w:fill="1F4E79"/>
          </w:tcPr>
          <w:p>
            <w:pPr>
              <w:spacing w:after="0"/>
            </w:pPr>
            <w:r/>
            <w:r>
              <w:rPr>
                <w:rFonts w:ascii="Arial" w:hAnsi="Arial"/>
                <w:b/>
                <w:color w:val="FFFFFF"/>
                <w:sz w:val="15"/>
              </w:rPr>
              <w:t>Model</w:t>
            </w:r>
          </w:p>
        </w:tc>
        <w:tc>
          <w:tcPr>
            <w:tcW w:type="dxa" w:w="994"/>
            <w:vAlign w:val="center"/>
            <w:shd w:fill="1F4E79"/>
          </w:tcPr>
          <w:p>
            <w:pPr>
              <w:spacing w:after="0"/>
            </w:pPr>
            <w:r/>
            <w:r>
              <w:rPr>
                <w:rFonts w:ascii="Arial" w:hAnsi="Arial"/>
                <w:b/>
                <w:color w:val="FFFFFF"/>
                <w:sz w:val="15"/>
              </w:rPr>
              <w:t>Accuracy</w:t>
            </w:r>
          </w:p>
        </w:tc>
        <w:tc>
          <w:tcPr>
            <w:tcW w:type="dxa" w:w="994"/>
            <w:vAlign w:val="center"/>
            <w:shd w:fill="1F4E79"/>
          </w:tcPr>
          <w:p>
            <w:pPr>
              <w:spacing w:after="0"/>
            </w:pPr>
            <w:r/>
            <w:r>
              <w:rPr>
                <w:rFonts w:ascii="Arial" w:hAnsi="Arial"/>
                <w:b/>
                <w:color w:val="FFFFFF"/>
                <w:sz w:val="15"/>
              </w:rPr>
              <w:t>Attack precision</w:t>
            </w:r>
          </w:p>
        </w:tc>
        <w:tc>
          <w:tcPr>
            <w:tcW w:type="dxa" w:w="994"/>
            <w:vAlign w:val="center"/>
            <w:shd w:fill="1F4E79"/>
          </w:tcPr>
          <w:p>
            <w:pPr>
              <w:spacing w:after="0"/>
            </w:pPr>
            <w:r/>
            <w:r>
              <w:rPr>
                <w:rFonts w:ascii="Arial" w:hAnsi="Arial"/>
                <w:b/>
                <w:color w:val="FFFFFF"/>
                <w:sz w:val="15"/>
              </w:rPr>
              <w:t>Attack recall</w:t>
            </w:r>
          </w:p>
        </w:tc>
        <w:tc>
          <w:tcPr>
            <w:tcW w:type="dxa" w:w="994"/>
            <w:vAlign w:val="center"/>
            <w:shd w:fill="1F4E79"/>
          </w:tcPr>
          <w:p>
            <w:pPr>
              <w:spacing w:after="0"/>
            </w:pPr>
            <w:r/>
            <w:r>
              <w:rPr>
                <w:rFonts w:ascii="Arial" w:hAnsi="Arial"/>
                <w:b/>
                <w:color w:val="FFFFFF"/>
                <w:sz w:val="15"/>
              </w:rPr>
              <w:t>Attack F1</w:t>
            </w:r>
          </w:p>
        </w:tc>
        <w:tc>
          <w:tcPr>
            <w:tcW w:type="dxa" w:w="994"/>
            <w:vAlign w:val="center"/>
            <w:shd w:fill="1F4E79"/>
          </w:tcPr>
          <w:p>
            <w:pPr>
              <w:spacing w:after="0"/>
            </w:pPr>
            <w:r/>
            <w:r>
              <w:rPr>
                <w:rFonts w:ascii="Arial" w:hAnsi="Arial"/>
                <w:b/>
                <w:color w:val="FFFFFF"/>
                <w:sz w:val="15"/>
              </w:rPr>
              <w:t>Balanced accuracy</w:t>
            </w:r>
          </w:p>
        </w:tc>
        <w:tc>
          <w:tcPr>
            <w:tcW w:type="dxa" w:w="994"/>
            <w:vAlign w:val="center"/>
            <w:shd w:fill="1F4E79"/>
          </w:tcPr>
          <w:p>
            <w:pPr>
              <w:spacing w:after="0"/>
            </w:pPr>
            <w:r/>
            <w:r>
              <w:rPr>
                <w:rFonts w:ascii="Arial" w:hAnsi="Arial"/>
                <w:b/>
                <w:color w:val="FFFFFF"/>
                <w:sz w:val="15"/>
              </w:rPr>
              <w:t>ROC-AUC</w:t>
            </w:r>
          </w:p>
        </w:tc>
        <w:tc>
          <w:tcPr>
            <w:tcW w:type="dxa" w:w="994"/>
            <w:vAlign w:val="center"/>
            <w:shd w:fill="1F4E79"/>
          </w:tcPr>
          <w:p>
            <w:pPr>
              <w:spacing w:after="0"/>
            </w:pPr>
            <w:r/>
            <w:r>
              <w:rPr>
                <w:rFonts w:ascii="Arial" w:hAnsi="Arial"/>
                <w:b/>
                <w:color w:val="FFFFFF"/>
                <w:sz w:val="15"/>
              </w:rPr>
              <w:t>PR-AUC</w:t>
            </w:r>
          </w:p>
        </w:tc>
        <w:tc>
          <w:tcPr>
            <w:tcW w:type="dxa" w:w="994"/>
            <w:vAlign w:val="center"/>
            <w:shd w:fill="1F4E79"/>
          </w:tcPr>
          <w:p>
            <w:pPr>
              <w:spacing w:after="0"/>
            </w:pPr>
            <w:r/>
            <w:r>
              <w:rPr>
                <w:rFonts w:ascii="Arial" w:hAnsi="Arial"/>
                <w:b/>
                <w:color w:val="FFFFFF"/>
                <w:sz w:val="15"/>
              </w:rPr>
              <w:t>Train time (s)</w:t>
            </w:r>
          </w:p>
        </w:tc>
        <w:tc>
          <w:tcPr>
            <w:tcW w:type="dxa" w:w="994"/>
            <w:vAlign w:val="center"/>
            <w:shd w:fill="1F4E79"/>
          </w:tcPr>
          <w:p>
            <w:pPr>
              <w:spacing w:after="0"/>
            </w:pPr>
            <w:r/>
            <w:r>
              <w:rPr>
                <w:rFonts w:ascii="Arial" w:hAnsi="Arial"/>
                <w:b/>
                <w:color w:val="FFFFFF"/>
                <w:sz w:val="15"/>
              </w:rPr>
              <w:t>Predict time (s)</w:t>
            </w:r>
          </w:p>
        </w:tc>
      </w:tr>
      <w:tr>
        <w:tc>
          <w:tcPr>
            <w:tcW w:type="dxa" w:w="994"/>
            <w:vAlign w:val="center"/>
          </w:tcPr>
          <w:p>
            <w:pPr>
              <w:spacing w:after="0"/>
            </w:pPr>
            <w:r/>
            <w:r>
              <w:rPr>
                <w:rFonts w:ascii="Arial" w:hAnsi="Arial"/>
                <w:b w:val="0"/>
                <w:sz w:val="15"/>
              </w:rPr>
              <w:t>Decision Tree</w:t>
            </w:r>
          </w:p>
        </w:tc>
        <w:tc>
          <w:tcPr>
            <w:tcW w:type="dxa" w:w="994"/>
            <w:vAlign w:val="center"/>
          </w:tcPr>
          <w:p>
            <w:pPr>
              <w:spacing w:after="0"/>
            </w:pPr>
            <w:r/>
            <w:r>
              <w:rPr>
                <w:rFonts w:ascii="Arial" w:hAnsi="Arial"/>
                <w:b w:val="0"/>
                <w:sz w:val="15"/>
              </w:rPr>
              <w:t>0.9954</w:t>
            </w:r>
          </w:p>
        </w:tc>
        <w:tc>
          <w:tcPr>
            <w:tcW w:type="dxa" w:w="994"/>
            <w:vAlign w:val="center"/>
          </w:tcPr>
          <w:p>
            <w:pPr>
              <w:spacing w:after="0"/>
            </w:pPr>
            <w:r/>
            <w:r>
              <w:rPr>
                <w:rFonts w:ascii="Arial" w:hAnsi="Arial"/>
                <w:b w:val="0"/>
                <w:sz w:val="15"/>
              </w:rPr>
              <w:t>0.9949</w:t>
            </w:r>
          </w:p>
        </w:tc>
        <w:tc>
          <w:tcPr>
            <w:tcW w:type="dxa" w:w="994"/>
            <w:vAlign w:val="center"/>
          </w:tcPr>
          <w:p>
            <w:pPr>
              <w:spacing w:after="0"/>
            </w:pPr>
            <w:r/>
            <w:r>
              <w:rPr>
                <w:rFonts w:ascii="Arial" w:hAnsi="Arial"/>
                <w:b w:val="0"/>
                <w:sz w:val="15"/>
              </w:rPr>
              <w:t>0.9952</w:t>
            </w:r>
          </w:p>
        </w:tc>
        <w:tc>
          <w:tcPr>
            <w:tcW w:type="dxa" w:w="994"/>
            <w:vAlign w:val="center"/>
          </w:tcPr>
          <w:p>
            <w:pPr>
              <w:spacing w:after="0"/>
            </w:pPr>
            <w:r/>
            <w:r>
              <w:rPr>
                <w:rFonts w:ascii="Arial" w:hAnsi="Arial"/>
                <w:b w:val="0"/>
                <w:sz w:val="15"/>
              </w:rPr>
              <w:t>0.9951</w:t>
            </w:r>
          </w:p>
        </w:tc>
        <w:tc>
          <w:tcPr>
            <w:tcW w:type="dxa" w:w="994"/>
            <w:vAlign w:val="center"/>
          </w:tcPr>
          <w:p>
            <w:pPr>
              <w:spacing w:after="0"/>
            </w:pPr>
            <w:r/>
            <w:r>
              <w:rPr>
                <w:rFonts w:ascii="Arial" w:hAnsi="Arial"/>
                <w:b w:val="0"/>
                <w:sz w:val="15"/>
              </w:rPr>
              <w:t>0.9954</w:t>
            </w:r>
          </w:p>
        </w:tc>
        <w:tc>
          <w:tcPr>
            <w:tcW w:type="dxa" w:w="994"/>
            <w:vAlign w:val="center"/>
          </w:tcPr>
          <w:p>
            <w:pPr>
              <w:spacing w:after="0"/>
            </w:pPr>
            <w:r/>
            <w:r>
              <w:rPr>
                <w:rFonts w:ascii="Arial" w:hAnsi="Arial"/>
                <w:b w:val="0"/>
                <w:sz w:val="15"/>
              </w:rPr>
              <w:t>0.9957</w:t>
            </w:r>
          </w:p>
        </w:tc>
        <w:tc>
          <w:tcPr>
            <w:tcW w:type="dxa" w:w="994"/>
            <w:vAlign w:val="center"/>
          </w:tcPr>
          <w:p>
            <w:pPr>
              <w:spacing w:after="0"/>
            </w:pPr>
            <w:r/>
            <w:r>
              <w:rPr>
                <w:rFonts w:ascii="Arial" w:hAnsi="Arial"/>
                <w:b w:val="0"/>
                <w:sz w:val="15"/>
              </w:rPr>
              <w:t>0.9927</w:t>
            </w:r>
          </w:p>
        </w:tc>
        <w:tc>
          <w:tcPr>
            <w:tcW w:type="dxa" w:w="994"/>
            <w:vAlign w:val="center"/>
          </w:tcPr>
          <w:p>
            <w:pPr>
              <w:spacing w:after="0"/>
            </w:pPr>
            <w:r/>
            <w:r>
              <w:rPr>
                <w:rFonts w:ascii="Arial" w:hAnsi="Arial"/>
                <w:b w:val="0"/>
                <w:sz w:val="15"/>
              </w:rPr>
              <w:t>0.5371</w:t>
            </w:r>
          </w:p>
        </w:tc>
        <w:tc>
          <w:tcPr>
            <w:tcW w:type="dxa" w:w="994"/>
            <w:vAlign w:val="center"/>
          </w:tcPr>
          <w:p>
            <w:pPr>
              <w:spacing w:after="0"/>
            </w:pPr>
            <w:r/>
            <w:r>
              <w:rPr>
                <w:rFonts w:ascii="Arial" w:hAnsi="Arial"/>
                <w:b w:val="0"/>
                <w:sz w:val="15"/>
              </w:rPr>
              <w:t>0.0014</w:t>
            </w:r>
          </w:p>
        </w:tc>
      </w:tr>
      <w:tr>
        <w:tc>
          <w:tcPr>
            <w:tcW w:type="dxa" w:w="994"/>
            <w:vAlign w:val="center"/>
            <w:shd w:fill="EAF1F8"/>
          </w:tcPr>
          <w:p>
            <w:pPr>
              <w:spacing w:after="0"/>
            </w:pPr>
            <w:r/>
            <w:r>
              <w:rPr>
                <w:rFonts w:ascii="Arial" w:hAnsi="Arial"/>
                <w:b w:val="0"/>
                <w:sz w:val="15"/>
              </w:rPr>
              <w:t>KNN</w:t>
            </w:r>
          </w:p>
        </w:tc>
        <w:tc>
          <w:tcPr>
            <w:tcW w:type="dxa" w:w="994"/>
            <w:vAlign w:val="center"/>
            <w:shd w:fill="EAF1F8"/>
          </w:tcPr>
          <w:p>
            <w:pPr>
              <w:spacing w:after="0"/>
            </w:pPr>
            <w:r/>
            <w:r>
              <w:rPr>
                <w:rFonts w:ascii="Arial" w:hAnsi="Arial"/>
                <w:b w:val="0"/>
                <w:sz w:val="15"/>
              </w:rPr>
              <w:t>0.9951</w:t>
            </w:r>
          </w:p>
        </w:tc>
        <w:tc>
          <w:tcPr>
            <w:tcW w:type="dxa" w:w="994"/>
            <w:vAlign w:val="center"/>
            <w:shd w:fill="EAF1F8"/>
          </w:tcPr>
          <w:p>
            <w:pPr>
              <w:spacing w:after="0"/>
            </w:pPr>
            <w:r/>
            <w:r>
              <w:rPr>
                <w:rFonts w:ascii="Arial" w:hAnsi="Arial"/>
                <w:b w:val="0"/>
                <w:sz w:val="15"/>
              </w:rPr>
              <w:t>0.9944</w:t>
            </w:r>
          </w:p>
        </w:tc>
        <w:tc>
          <w:tcPr>
            <w:tcW w:type="dxa" w:w="994"/>
            <w:vAlign w:val="center"/>
            <w:shd w:fill="EAF1F8"/>
          </w:tcPr>
          <w:p>
            <w:pPr>
              <w:spacing w:after="0"/>
            </w:pPr>
            <w:r/>
            <w:r>
              <w:rPr>
                <w:rFonts w:ascii="Arial" w:hAnsi="Arial"/>
                <w:b w:val="0"/>
                <w:sz w:val="15"/>
              </w:rPr>
              <w:t>0.9950</w:t>
            </w:r>
          </w:p>
        </w:tc>
        <w:tc>
          <w:tcPr>
            <w:tcW w:type="dxa" w:w="994"/>
            <w:vAlign w:val="center"/>
            <w:shd w:fill="EAF1F8"/>
          </w:tcPr>
          <w:p>
            <w:pPr>
              <w:spacing w:after="0"/>
            </w:pPr>
            <w:r/>
            <w:r>
              <w:rPr>
                <w:rFonts w:ascii="Arial" w:hAnsi="Arial"/>
                <w:b w:val="0"/>
                <w:sz w:val="15"/>
              </w:rPr>
              <w:t>0.9947</w:t>
            </w:r>
          </w:p>
        </w:tc>
        <w:tc>
          <w:tcPr>
            <w:tcW w:type="dxa" w:w="994"/>
            <w:vAlign w:val="center"/>
            <w:shd w:fill="EAF1F8"/>
          </w:tcPr>
          <w:p>
            <w:pPr>
              <w:spacing w:after="0"/>
            </w:pPr>
            <w:r/>
            <w:r>
              <w:rPr>
                <w:rFonts w:ascii="Arial" w:hAnsi="Arial"/>
                <w:b w:val="0"/>
                <w:sz w:val="15"/>
              </w:rPr>
              <w:t>0.9951</w:t>
            </w:r>
          </w:p>
        </w:tc>
        <w:tc>
          <w:tcPr>
            <w:tcW w:type="dxa" w:w="994"/>
            <w:vAlign w:val="center"/>
            <w:shd w:fill="EAF1F8"/>
          </w:tcPr>
          <w:p>
            <w:pPr>
              <w:spacing w:after="0"/>
            </w:pPr>
            <w:r/>
            <w:r>
              <w:rPr>
                <w:rFonts w:ascii="Arial" w:hAnsi="Arial"/>
                <w:b w:val="0"/>
                <w:sz w:val="15"/>
              </w:rPr>
              <w:t>0.9982</w:t>
            </w:r>
          </w:p>
        </w:tc>
        <w:tc>
          <w:tcPr>
            <w:tcW w:type="dxa" w:w="994"/>
            <w:vAlign w:val="center"/>
            <w:shd w:fill="EAF1F8"/>
          </w:tcPr>
          <w:p>
            <w:pPr>
              <w:spacing w:after="0"/>
            </w:pPr>
            <w:r/>
            <w:r>
              <w:rPr>
                <w:rFonts w:ascii="Arial" w:hAnsi="Arial"/>
                <w:b w:val="0"/>
                <w:sz w:val="15"/>
              </w:rPr>
              <w:t>0.9973</w:t>
            </w:r>
          </w:p>
        </w:tc>
        <w:tc>
          <w:tcPr>
            <w:tcW w:type="dxa" w:w="994"/>
            <w:vAlign w:val="center"/>
            <w:shd w:fill="EAF1F8"/>
          </w:tcPr>
          <w:p>
            <w:pPr>
              <w:spacing w:after="0"/>
            </w:pPr>
            <w:r/>
            <w:r>
              <w:rPr>
                <w:rFonts w:ascii="Arial" w:hAnsi="Arial"/>
                <w:b w:val="0"/>
                <w:sz w:val="15"/>
              </w:rPr>
              <w:t>0.0037</w:t>
            </w:r>
          </w:p>
        </w:tc>
        <w:tc>
          <w:tcPr>
            <w:tcW w:type="dxa" w:w="994"/>
            <w:vAlign w:val="center"/>
            <w:shd w:fill="EAF1F8"/>
          </w:tcPr>
          <w:p>
            <w:pPr>
              <w:spacing w:after="0"/>
            </w:pPr>
            <w:r/>
            <w:r>
              <w:rPr>
                <w:rFonts w:ascii="Arial" w:hAnsi="Arial"/>
                <w:b w:val="0"/>
                <w:sz w:val="15"/>
              </w:rPr>
              <w:t>1.1853</w:t>
            </w:r>
          </w:p>
        </w:tc>
      </w:tr>
      <w:tr>
        <w:tc>
          <w:tcPr>
            <w:tcW w:type="dxa" w:w="994"/>
            <w:vAlign w:val="center"/>
          </w:tcPr>
          <w:p>
            <w:pPr>
              <w:spacing w:after="0"/>
            </w:pPr>
            <w:r/>
            <w:r>
              <w:rPr>
                <w:rFonts w:ascii="Arial" w:hAnsi="Arial"/>
                <w:b w:val="0"/>
                <w:sz w:val="15"/>
              </w:rPr>
              <w:t>Logistic Regression</w:t>
            </w:r>
          </w:p>
        </w:tc>
        <w:tc>
          <w:tcPr>
            <w:tcW w:type="dxa" w:w="994"/>
            <w:vAlign w:val="center"/>
          </w:tcPr>
          <w:p>
            <w:pPr>
              <w:spacing w:after="0"/>
            </w:pPr>
            <w:r/>
            <w:r>
              <w:rPr>
                <w:rFonts w:ascii="Arial" w:hAnsi="Arial"/>
                <w:b w:val="0"/>
                <w:sz w:val="15"/>
              </w:rPr>
              <w:t>0.9525</w:t>
            </w:r>
          </w:p>
        </w:tc>
        <w:tc>
          <w:tcPr>
            <w:tcW w:type="dxa" w:w="994"/>
            <w:vAlign w:val="center"/>
          </w:tcPr>
          <w:p>
            <w:pPr>
              <w:spacing w:after="0"/>
            </w:pPr>
            <w:r/>
            <w:r>
              <w:rPr>
                <w:rFonts w:ascii="Arial" w:hAnsi="Arial"/>
                <w:b w:val="0"/>
                <w:sz w:val="15"/>
              </w:rPr>
              <w:t>0.9569</w:t>
            </w:r>
          </w:p>
        </w:tc>
        <w:tc>
          <w:tcPr>
            <w:tcW w:type="dxa" w:w="994"/>
            <w:vAlign w:val="center"/>
          </w:tcPr>
          <w:p>
            <w:pPr>
              <w:spacing w:after="0"/>
            </w:pPr>
            <w:r/>
            <w:r>
              <w:rPr>
                <w:rFonts w:ascii="Arial" w:hAnsi="Arial"/>
                <w:b w:val="0"/>
                <w:sz w:val="15"/>
              </w:rPr>
              <w:t>0.9402</w:t>
            </w:r>
          </w:p>
        </w:tc>
        <w:tc>
          <w:tcPr>
            <w:tcW w:type="dxa" w:w="994"/>
            <w:vAlign w:val="center"/>
          </w:tcPr>
          <w:p>
            <w:pPr>
              <w:spacing w:after="0"/>
            </w:pPr>
            <w:r/>
            <w:r>
              <w:rPr>
                <w:rFonts w:ascii="Arial" w:hAnsi="Arial"/>
                <w:b w:val="0"/>
                <w:sz w:val="15"/>
              </w:rPr>
              <w:t>0.9485</w:t>
            </w:r>
          </w:p>
        </w:tc>
        <w:tc>
          <w:tcPr>
            <w:tcW w:type="dxa" w:w="994"/>
            <w:vAlign w:val="center"/>
          </w:tcPr>
          <w:p>
            <w:pPr>
              <w:spacing w:after="0"/>
            </w:pPr>
            <w:r/>
            <w:r>
              <w:rPr>
                <w:rFonts w:ascii="Arial" w:hAnsi="Arial"/>
                <w:b w:val="0"/>
                <w:sz w:val="15"/>
              </w:rPr>
              <w:t>0.9517</w:t>
            </w:r>
          </w:p>
        </w:tc>
        <w:tc>
          <w:tcPr>
            <w:tcW w:type="dxa" w:w="994"/>
            <w:vAlign w:val="center"/>
          </w:tcPr>
          <w:p>
            <w:pPr>
              <w:spacing w:after="0"/>
            </w:pPr>
            <w:r/>
            <w:r>
              <w:rPr>
                <w:rFonts w:ascii="Arial" w:hAnsi="Arial"/>
                <w:b w:val="0"/>
                <w:sz w:val="15"/>
              </w:rPr>
              <w:t>0.9880</w:t>
            </w:r>
          </w:p>
        </w:tc>
        <w:tc>
          <w:tcPr>
            <w:tcW w:type="dxa" w:w="994"/>
            <w:vAlign w:val="center"/>
          </w:tcPr>
          <w:p>
            <w:pPr>
              <w:spacing w:after="0"/>
            </w:pPr>
            <w:r/>
            <w:r>
              <w:rPr>
                <w:rFonts w:ascii="Arial" w:hAnsi="Arial"/>
                <w:b w:val="0"/>
                <w:sz w:val="15"/>
              </w:rPr>
              <w:t>0.9883</w:t>
            </w:r>
          </w:p>
        </w:tc>
        <w:tc>
          <w:tcPr>
            <w:tcW w:type="dxa" w:w="994"/>
            <w:vAlign w:val="center"/>
          </w:tcPr>
          <w:p>
            <w:pPr>
              <w:spacing w:after="0"/>
            </w:pPr>
            <w:r/>
            <w:r>
              <w:rPr>
                <w:rFonts w:ascii="Arial" w:hAnsi="Arial"/>
                <w:b w:val="0"/>
                <w:sz w:val="15"/>
              </w:rPr>
              <w:t>0.2264</w:t>
            </w:r>
          </w:p>
        </w:tc>
        <w:tc>
          <w:tcPr>
            <w:tcW w:type="dxa" w:w="994"/>
            <w:vAlign w:val="center"/>
          </w:tcPr>
          <w:p>
            <w:pPr>
              <w:spacing w:after="0"/>
            </w:pPr>
            <w:r/>
            <w:r>
              <w:rPr>
                <w:rFonts w:ascii="Arial" w:hAnsi="Arial"/>
                <w:b w:val="0"/>
                <w:sz w:val="15"/>
              </w:rPr>
              <w:t>0.0006</w:t>
            </w:r>
          </w:p>
        </w:tc>
      </w:tr>
    </w:tbl>
    <w:p/>
    <w:p>
      <w:r>
        <w:t>Decision Tree has the strongest threshold-based test results: 99.54% accuracy, 99.52% attack recall, and 99.51% attack F1-score. KNN is close, with 99.51% accuracy, 99.50% attack recall, and 99.47% attack F1-score. KNN has the highest test ROC-AUC (0.9982) and PR-AUC (0.9973), indicating excellent ranking of attack probabilities across thresholds. Decision Tree is the strongest default choice if the operational decision threshold is the one used by predict() and the priority is F1/accuracy; KNN deserves consideration if ranking performance is especially important and prediction latency is acceptable.</w:t>
      </w:r>
    </w:p>
    <w:p>
      <w:r>
        <w:t>Logistic Regression reaches 95.25% test accuracy and 94.02% attack recall. This is a respectable baseline, but it misses a larger share of attacks than the other two models. Its prediction time is the lowest of the reported models, while KNN's prediction time is much longer (about 1.185 seconds for the evaluated test batch versus about 0.0014 seconds for Decision Tree and 0.0006 seconds for Logistic Regression). These timings depend on hardware, data size, and the way the timing cell was run; they should be treated as measurements from this run rather than universal benchmarks.</w:t>
      </w:r>
    </w:p>
    <w:p>
      <w:pPr>
        <w:pStyle w:val="Heading2"/>
      </w:pPr>
      <w:r>
        <w:t>8.3 Logistic Regression confusion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0"/>
            </w:pPr>
            <w:r/>
            <w:r>
              <w:rPr>
                <w:rFonts w:ascii="Arial" w:hAnsi="Arial"/>
                <w:b/>
                <w:color w:val="FFFFFF"/>
                <w:sz w:val="18"/>
              </w:rPr>
              <w:t>True class</w:t>
            </w:r>
          </w:p>
        </w:tc>
        <w:tc>
          <w:tcPr>
            <w:tcW w:type="dxa" w:w="2484"/>
            <w:vAlign w:val="center"/>
            <w:shd w:fill="1F4E79"/>
          </w:tcPr>
          <w:p>
            <w:pPr>
              <w:spacing w:after="0"/>
            </w:pPr>
            <w:r/>
            <w:r>
              <w:rPr>
                <w:rFonts w:ascii="Arial" w:hAnsi="Arial"/>
                <w:b/>
                <w:color w:val="FFFFFF"/>
                <w:sz w:val="18"/>
              </w:rPr>
              <w:t>Predicted Normal</w:t>
            </w:r>
          </w:p>
        </w:tc>
        <w:tc>
          <w:tcPr>
            <w:tcW w:type="dxa" w:w="2484"/>
            <w:vAlign w:val="center"/>
            <w:shd w:fill="1F4E79"/>
          </w:tcPr>
          <w:p>
            <w:pPr>
              <w:spacing w:after="0"/>
            </w:pPr>
            <w:r/>
            <w:r>
              <w:rPr>
                <w:rFonts w:ascii="Arial" w:hAnsi="Arial"/>
                <w:b/>
                <w:color w:val="FFFFFF"/>
                <w:sz w:val="18"/>
              </w:rPr>
              <w:t>Predicted Attack</w:t>
            </w:r>
          </w:p>
        </w:tc>
        <w:tc>
          <w:tcPr>
            <w:tcW w:type="dxa" w:w="2484"/>
            <w:vAlign w:val="center"/>
            <w:shd w:fill="1F4E79"/>
          </w:tcPr>
          <w:p>
            <w:pPr>
              <w:spacing w:after="0"/>
            </w:pPr>
            <w:r/>
            <w:r>
              <w:rPr>
                <w:rFonts w:ascii="Arial" w:hAnsi="Arial"/>
                <w:b/>
                <w:color w:val="FFFFFF"/>
                <w:sz w:val="18"/>
              </w:rPr>
              <w:t>Total</w:t>
            </w:r>
          </w:p>
        </w:tc>
      </w:tr>
      <w:tr>
        <w:tc>
          <w:tcPr>
            <w:tcW w:type="dxa" w:w="2484"/>
            <w:vAlign w:val="center"/>
          </w:tcPr>
          <w:p>
            <w:pPr>
              <w:spacing w:after="0"/>
            </w:pPr>
            <w:r/>
            <w:r>
              <w:rPr>
                <w:rFonts w:ascii="Arial" w:hAnsi="Arial"/>
                <w:b w:val="0"/>
                <w:sz w:val="18"/>
              </w:rPr>
              <w:t>Normal</w:t>
            </w:r>
          </w:p>
        </w:tc>
        <w:tc>
          <w:tcPr>
            <w:tcW w:type="dxa" w:w="2484"/>
            <w:vAlign w:val="center"/>
          </w:tcPr>
          <w:p>
            <w:pPr>
              <w:spacing w:after="0"/>
            </w:pPr>
            <w:r/>
            <w:r>
              <w:rPr>
                <w:rFonts w:ascii="Arial" w:hAnsi="Arial"/>
                <w:b w:val="0"/>
                <w:sz w:val="18"/>
              </w:rPr>
              <w:t>9,729</w:t>
            </w:r>
          </w:p>
        </w:tc>
        <w:tc>
          <w:tcPr>
            <w:tcW w:type="dxa" w:w="2484"/>
            <w:vAlign w:val="center"/>
          </w:tcPr>
          <w:p>
            <w:pPr>
              <w:spacing w:after="0"/>
            </w:pPr>
            <w:r/>
            <w:r>
              <w:rPr>
                <w:rFonts w:ascii="Arial" w:hAnsi="Arial"/>
                <w:b w:val="0"/>
                <w:sz w:val="18"/>
              </w:rPr>
              <w:t>372</w:t>
            </w:r>
          </w:p>
        </w:tc>
        <w:tc>
          <w:tcPr>
            <w:tcW w:type="dxa" w:w="2484"/>
            <w:vAlign w:val="center"/>
          </w:tcPr>
          <w:p>
            <w:pPr>
              <w:spacing w:after="0"/>
            </w:pPr>
            <w:r/>
            <w:r>
              <w:rPr>
                <w:rFonts w:ascii="Arial" w:hAnsi="Arial"/>
                <w:b w:val="0"/>
                <w:sz w:val="18"/>
              </w:rPr>
              <w:t>10,101</w:t>
            </w:r>
          </w:p>
        </w:tc>
      </w:tr>
      <w:tr>
        <w:tc>
          <w:tcPr>
            <w:tcW w:type="dxa" w:w="2484"/>
            <w:vAlign w:val="center"/>
            <w:shd w:fill="EAF1F8"/>
          </w:tcPr>
          <w:p>
            <w:pPr>
              <w:spacing w:after="0"/>
            </w:pPr>
            <w:r/>
            <w:r>
              <w:rPr>
                <w:rFonts w:ascii="Arial" w:hAnsi="Arial"/>
                <w:b w:val="0"/>
                <w:sz w:val="18"/>
              </w:rPr>
              <w:t>Attack</w:t>
            </w:r>
          </w:p>
        </w:tc>
        <w:tc>
          <w:tcPr>
            <w:tcW w:type="dxa" w:w="2484"/>
            <w:vAlign w:val="center"/>
            <w:shd w:fill="EAF1F8"/>
          </w:tcPr>
          <w:p>
            <w:pPr>
              <w:spacing w:after="0"/>
            </w:pPr>
            <w:r/>
            <w:r>
              <w:rPr>
                <w:rFonts w:ascii="Arial" w:hAnsi="Arial"/>
                <w:b w:val="0"/>
                <w:sz w:val="18"/>
              </w:rPr>
              <w:t>526</w:t>
            </w:r>
          </w:p>
        </w:tc>
        <w:tc>
          <w:tcPr>
            <w:tcW w:type="dxa" w:w="2484"/>
            <w:vAlign w:val="center"/>
            <w:shd w:fill="EAF1F8"/>
          </w:tcPr>
          <w:p>
            <w:pPr>
              <w:spacing w:after="0"/>
            </w:pPr>
            <w:r/>
            <w:r>
              <w:rPr>
                <w:rFonts w:ascii="Arial" w:hAnsi="Arial"/>
                <w:b w:val="0"/>
                <w:sz w:val="18"/>
              </w:rPr>
              <w:t>8,269</w:t>
            </w:r>
          </w:p>
        </w:tc>
        <w:tc>
          <w:tcPr>
            <w:tcW w:type="dxa" w:w="2484"/>
            <w:vAlign w:val="center"/>
            <w:shd w:fill="EAF1F8"/>
          </w:tcPr>
          <w:p>
            <w:pPr>
              <w:spacing w:after="0"/>
            </w:pPr>
            <w:r/>
            <w:r>
              <w:rPr>
                <w:rFonts w:ascii="Arial" w:hAnsi="Arial"/>
                <w:b w:val="0"/>
                <w:sz w:val="18"/>
              </w:rPr>
              <w:t>8,795</w:t>
            </w:r>
          </w:p>
        </w:tc>
      </w:tr>
      <w:tr>
        <w:tc>
          <w:tcPr>
            <w:tcW w:type="dxa" w:w="2484"/>
            <w:vAlign w:val="center"/>
          </w:tcPr>
          <w:p>
            <w:pPr>
              <w:spacing w:after="0"/>
            </w:pPr>
            <w:r/>
            <w:r>
              <w:rPr>
                <w:rFonts w:ascii="Arial" w:hAnsi="Arial"/>
                <w:b w:val="0"/>
                <w:sz w:val="18"/>
              </w:rPr>
              <w:t>Total</w:t>
            </w:r>
          </w:p>
        </w:tc>
        <w:tc>
          <w:tcPr>
            <w:tcW w:type="dxa" w:w="2484"/>
            <w:vAlign w:val="center"/>
          </w:tcPr>
          <w:p>
            <w:pPr>
              <w:spacing w:after="0"/>
            </w:pPr>
            <w:r/>
            <w:r>
              <w:rPr>
                <w:rFonts w:ascii="Arial" w:hAnsi="Arial"/>
                <w:b w:val="0"/>
                <w:sz w:val="18"/>
              </w:rPr>
              <w:t>10,255</w:t>
            </w:r>
          </w:p>
        </w:tc>
        <w:tc>
          <w:tcPr>
            <w:tcW w:type="dxa" w:w="2484"/>
            <w:vAlign w:val="center"/>
          </w:tcPr>
          <w:p>
            <w:pPr>
              <w:spacing w:after="0"/>
            </w:pPr>
            <w:r/>
            <w:r>
              <w:rPr>
                <w:rFonts w:ascii="Arial" w:hAnsi="Arial"/>
                <w:b w:val="0"/>
                <w:sz w:val="18"/>
              </w:rPr>
              <w:t>8,641</w:t>
            </w:r>
          </w:p>
        </w:tc>
        <w:tc>
          <w:tcPr>
            <w:tcW w:type="dxa" w:w="2484"/>
            <w:vAlign w:val="center"/>
          </w:tcPr>
          <w:p>
            <w:pPr>
              <w:spacing w:after="0"/>
            </w:pPr>
            <w:r/>
            <w:r>
              <w:rPr>
                <w:rFonts w:ascii="Arial" w:hAnsi="Arial"/>
                <w:b w:val="0"/>
                <w:sz w:val="18"/>
              </w:rPr>
              <w:t>18,896</w:t>
            </w:r>
          </w:p>
        </w:tc>
      </w:tr>
    </w:tbl>
    <w:p/>
    <w:p>
      <w:r>
        <w:t>The supplied Logistic Regression confusion matrix shows 9,729 correctly classified normal connections and 8,269 correctly detected attacks. It produces 372 false positives (normal records labelled as attacks) and 526 false negatives (attacks labelled as normal). Thus, 526 attacks are missed in this test partition. The attack recall calculated from the matrix is 8,269 / 8,795 ≈ 0.9402, matching the test table.</w:t>
      </w:r>
    </w:p>
    <w:p>
      <w:r>
        <w:t>The screenshots supplied for this report do not show the complete confusion matrices or class-by-class reports for Decision Tree and KNN, so their individual false-positive and false-negative counts are not reproduced here. Their aggregate test metrics are included from the results table.</w:t>
      </w:r>
    </w:p>
    <w:p>
      <w:pPr>
        <w:pStyle w:val="Heading1"/>
      </w:pPr>
      <w:r>
        <w:t>9. Interpretation and discussion</w:t>
      </w:r>
    </w:p>
    <w:p>
      <w:pPr>
        <w:pStyle w:val="Heading2"/>
      </w:pPr>
      <w:r>
        <w:t>9.1 Overall model comparison</w:t>
      </w:r>
    </w:p>
    <w:p>
      <w:r>
        <w:t>Decision Tree is the best overall model by the validation selection rule and also leads on the final test accuracy, attack recall, and attack F1-score. The small gap between its validation and test scores suggests that its performance is stable across these partitions in this experiment. KNN is also highly competitive and has the best ROC-AUC and PR-AUC, but its prediction time is substantially higher. Logistic Regression is simpler and fast at inference, but its lower attack recall means a larger number of attacks would be missed at the default decision threshold.</w:t>
      </w:r>
    </w:p>
    <w:p>
      <w:pPr>
        <w:pStyle w:val="Heading2"/>
      </w:pPr>
      <w:r>
        <w:t>9.2 Security trade-offs</w:t>
      </w:r>
    </w:p>
    <w:p>
      <w:r>
        <w:t>For a real IDS, the best model depends on the costs of false positives and false negatives. If missing an attack is particularly expensive, recall and the false-negative count should receive high priority. If alerts overwhelm analysts, precision and false-positive rate also matter. The present comparison uses F1-score to balance attack precision and recall, but the operational threshold could be adjusted using validation data to reflect the security team's preferred trade-off. Any threshold change should be chosen on validation data and assessed once on the untouched test data.</w:t>
      </w:r>
    </w:p>
    <w:p>
      <w:pPr>
        <w:pStyle w:val="Heading2"/>
      </w:pPr>
      <w:r>
        <w:t>9.3 Why high performance should be checked carefully</w:t>
      </w:r>
    </w:p>
    <w:p>
      <w:r>
        <w:t>The three models' results are very high, particularly for Decision Tree and KNN. This may reflect the separability of the selected NSL-KDD binary task, but high scores alone do not prove generalisation to live networks. Results can depend on the dataset version, the random split, label composition, and whether records from related traffic conditions appear in both partitions. Before making deployment claims, verify the dataset provenance and exact feature schema, retain the test set as untouched, and consider evaluating on a separate dataset or a split strategy that better represents deployment.</w:t>
      </w:r>
    </w:p>
    <w:p>
      <w:pPr>
        <w:pStyle w:val="Heading1"/>
      </w:pPr>
      <w:r>
        <w:t>10. Decision Tree feature importance</w:t>
      </w:r>
    </w:p>
    <w:p>
      <w:r>
        <w:t>The notebook calculates and plots the top 20 feature importances from the final Decision Tree. These scores estimate each feature's contribution to the tree's impurity reduction across its splits. They can help explain which remaining predictors the model uses, but they are not causal explanations and can distribute importance across correlated predictors. The supplied screenshots do not include the actual feature-importance table, so this report explains the method but does not name or rank individual features.</w:t>
      </w:r>
    </w:p>
    <w:p>
      <w:pPr>
        <w:pStyle w:val="Heading1"/>
      </w:pPr>
      <w:r>
        <w:t>11. Limitations and methodological notes</w:t>
      </w:r>
    </w:p>
    <w:p>
      <w:pPr>
        <w:pStyle w:val="ListBullet"/>
      </w:pPr>
      <w:r>
        <w:t>The target is binary: all non-normal labels are grouped as attacks. The model does not identify specific attack families.</w:t>
      </w:r>
    </w:p>
    <w:p>
      <w:pPr>
        <w:pStyle w:val="ListBullet"/>
      </w:pPr>
      <w:r>
        <w:t>The original feature engineering choices were retained, including the fixed correlated-feature removal list, the protocol_type and flag mappings, and dropping service.</w:t>
      </w:r>
    </w:p>
    <w:p>
      <w:pPr>
        <w:pStyle w:val="ListBullet"/>
      </w:pPr>
      <w:r>
        <w:t>Integer encoding for protocol_type and flag imposes an artificial numerical order. This is retained for comparability with the earlier workflow but should be investigated in a separate controlled experiment.</w:t>
      </w:r>
    </w:p>
    <w:p>
      <w:pPr>
        <w:pStyle w:val="ListBullet"/>
      </w:pPr>
      <w:r>
        <w:t>The cleaning operation df.dropna(axis='columns', how='any') drops columns containing missing values, not rows. This distinction should be made explicit in the notebook documentation.</w:t>
      </w:r>
    </w:p>
    <w:p>
      <w:pPr>
        <w:pStyle w:val="ListBullet"/>
      </w:pPr>
      <w:r>
        <w:t>SMOTE generates synthetic training observations. It must remain restricted to the training partition, as in this workflow.</w:t>
      </w:r>
    </w:p>
    <w:p>
      <w:pPr>
        <w:pStyle w:val="ListBullet"/>
      </w:pPr>
      <w:r>
        <w:t>The reported runtime values depend on hardware, dataset size, and timing boundaries. KNN is notably slower at prediction in this run.</w:t>
      </w:r>
    </w:p>
    <w:p>
      <w:pPr>
        <w:pStyle w:val="ListBullet"/>
      </w:pPr>
      <w:r>
        <w:t>Only the Logistic Regression confusion matrix is visible in the supplied screenshots; detailed error counts for the other models cannot be stated from the available evidence.</w:t>
      </w:r>
    </w:p>
    <w:p>
      <w:pPr>
        <w:pStyle w:val="ListBullet"/>
      </w:pPr>
      <w:r>
        <w:t>The reported scores apply to this particular random split and preprocessing workflow and should not be interpreted as guaranteed performance on live network traffic.</w:t>
      </w:r>
    </w:p>
    <w:p>
      <w:pPr>
        <w:pStyle w:val="Heading1"/>
      </w:pPr>
      <w:r>
        <w:t>12. Conclusion</w:t>
      </w:r>
    </w:p>
    <w:p>
      <w:r>
        <w:t>This project implemented a binary intrusion-detection workflow on NSL-KDD and compared Logistic Regression, KNN, and Decision Tree while preserving the established feature-engineering choices. The workflow includes stratified train/validation/test splitting, training-only imputation and MinMax scaling, and SMOTE applied only to training data. These steps reduce the risk of preprocessing and resampling leakage.</w:t>
      </w:r>
    </w:p>
    <w:p>
      <w:r>
        <w:t>Based on the supplied held-out test results, Decision Tree is the recommended overall model for this experiment: it achieved 99.54% accuracy, 99.52% attack recall, and 99.51% attack F1-score. KNN is a close alternative and has the highest ROC-AUC and PR-AUC, but its inference time is substantially higher. Logistic Regression provides a fast, interpretable baseline but has lower attack recall. The recommendation is limited to the current dataset and split; further checks on feature importance, threshold trade-offs, and independent data are needed before drawing deployment conclusions.</w:t>
      </w:r>
    </w:p>
    <w:p>
      <w:pPr>
        <w:pStyle w:val="Heading1"/>
      </w:pPr>
      <w:r>
        <w:t>Appendix A. Reproducibility details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rFonts w:ascii="Arial" w:hAnsi="Arial"/>
                <w:b/>
                <w:color w:val="FFFFFF"/>
                <w:sz w:val="18"/>
              </w:rPr>
              <w:t>Item</w:t>
            </w:r>
          </w:p>
        </w:tc>
        <w:tc>
          <w:tcPr>
            <w:tcW w:type="dxa" w:w="4968"/>
            <w:vAlign w:val="center"/>
            <w:shd w:fill="1F4E79"/>
          </w:tcPr>
          <w:p>
            <w:pPr>
              <w:spacing w:after="0"/>
            </w:pPr>
            <w:r/>
            <w:r>
              <w:rPr>
                <w:rFonts w:ascii="Arial" w:hAnsi="Arial"/>
                <w:b/>
                <w:color w:val="FFFFFF"/>
                <w:sz w:val="18"/>
              </w:rPr>
              <w:t>Setting</w:t>
            </w:r>
          </w:p>
        </w:tc>
      </w:tr>
      <w:tr>
        <w:tc>
          <w:tcPr>
            <w:tcW w:type="dxa" w:w="4968"/>
            <w:vAlign w:val="center"/>
          </w:tcPr>
          <w:p>
            <w:pPr>
              <w:spacing w:after="0"/>
            </w:pPr>
            <w:r/>
            <w:r>
              <w:rPr>
                <w:rFonts w:ascii="Arial" w:hAnsi="Arial"/>
                <w:b w:val="0"/>
                <w:sz w:val="18"/>
              </w:rPr>
              <w:t>Random seed</w:t>
            </w:r>
          </w:p>
        </w:tc>
        <w:tc>
          <w:tcPr>
            <w:tcW w:type="dxa" w:w="4968"/>
            <w:vAlign w:val="center"/>
          </w:tcPr>
          <w:p>
            <w:pPr>
              <w:spacing w:after="0"/>
            </w:pPr>
            <w:r/>
            <w:r>
              <w:rPr>
                <w:rFonts w:ascii="Arial" w:hAnsi="Arial"/>
                <w:b w:val="0"/>
                <w:sz w:val="18"/>
              </w:rPr>
              <w:t>42</w:t>
            </w:r>
          </w:p>
        </w:tc>
      </w:tr>
      <w:tr>
        <w:tc>
          <w:tcPr>
            <w:tcW w:type="dxa" w:w="4968"/>
            <w:vAlign w:val="center"/>
            <w:shd w:fill="EAF1F8"/>
          </w:tcPr>
          <w:p>
            <w:pPr>
              <w:spacing w:after="0"/>
            </w:pPr>
            <w:r/>
            <w:r>
              <w:rPr>
                <w:rFonts w:ascii="Arial" w:hAnsi="Arial"/>
                <w:b w:val="0"/>
                <w:sz w:val="18"/>
              </w:rPr>
              <w:t>Target</w:t>
            </w:r>
          </w:p>
        </w:tc>
        <w:tc>
          <w:tcPr>
            <w:tcW w:type="dxa" w:w="4968"/>
            <w:vAlign w:val="center"/>
            <w:shd w:fill="EAF1F8"/>
          </w:tcPr>
          <w:p>
            <w:pPr>
              <w:spacing w:after="0"/>
            </w:pPr>
            <w:r/>
            <w:r>
              <w:rPr>
                <w:rFonts w:ascii="Arial" w:hAnsi="Arial"/>
                <w:b w:val="0"/>
                <w:sz w:val="18"/>
              </w:rPr>
              <w:t>Normal = 0; all non-normal labels = 1</w:t>
            </w:r>
          </w:p>
        </w:tc>
      </w:tr>
      <w:tr>
        <w:tc>
          <w:tcPr>
            <w:tcW w:type="dxa" w:w="4968"/>
            <w:vAlign w:val="center"/>
          </w:tcPr>
          <w:p>
            <w:pPr>
              <w:spacing w:after="0"/>
            </w:pPr>
            <w:r/>
            <w:r>
              <w:rPr>
                <w:rFonts w:ascii="Arial" w:hAnsi="Arial"/>
                <w:b w:val="0"/>
                <w:sz w:val="18"/>
              </w:rPr>
              <w:t>Split</w:t>
            </w:r>
          </w:p>
        </w:tc>
        <w:tc>
          <w:tcPr>
            <w:tcW w:type="dxa" w:w="4968"/>
            <w:vAlign w:val="center"/>
          </w:tcPr>
          <w:p>
            <w:pPr>
              <w:spacing w:after="0"/>
            </w:pPr>
            <w:r/>
            <w:r>
              <w:rPr>
                <w:rFonts w:ascii="Arial" w:hAnsi="Arial"/>
                <w:b w:val="0"/>
                <w:sz w:val="18"/>
              </w:rPr>
              <w:t>Approximately 70% train / 15% validation / 15% test, stratified</w:t>
            </w:r>
          </w:p>
        </w:tc>
      </w:tr>
      <w:tr>
        <w:tc>
          <w:tcPr>
            <w:tcW w:type="dxa" w:w="4968"/>
            <w:vAlign w:val="center"/>
            <w:shd w:fill="EAF1F8"/>
          </w:tcPr>
          <w:p>
            <w:pPr>
              <w:spacing w:after="0"/>
            </w:pPr>
            <w:r/>
            <w:r>
              <w:rPr>
                <w:rFonts w:ascii="Arial" w:hAnsi="Arial"/>
                <w:b w:val="0"/>
                <w:sz w:val="18"/>
              </w:rPr>
              <w:t>Imputation</w:t>
            </w:r>
          </w:p>
        </w:tc>
        <w:tc>
          <w:tcPr>
            <w:tcW w:type="dxa" w:w="4968"/>
            <w:vAlign w:val="center"/>
            <w:shd w:fill="EAF1F8"/>
          </w:tcPr>
          <w:p>
            <w:pPr>
              <w:spacing w:after="0"/>
            </w:pPr>
            <w:r/>
            <w:r>
              <w:rPr>
                <w:rFonts w:ascii="Arial" w:hAnsi="Arial"/>
                <w:b w:val="0"/>
                <w:sz w:val="18"/>
              </w:rPr>
              <w:t>Median imputation fitted on training data</w:t>
            </w:r>
          </w:p>
        </w:tc>
      </w:tr>
      <w:tr>
        <w:tc>
          <w:tcPr>
            <w:tcW w:type="dxa" w:w="4968"/>
            <w:vAlign w:val="center"/>
          </w:tcPr>
          <w:p>
            <w:pPr>
              <w:spacing w:after="0"/>
            </w:pPr>
            <w:r/>
            <w:r>
              <w:rPr>
                <w:rFonts w:ascii="Arial" w:hAnsi="Arial"/>
                <w:b w:val="0"/>
                <w:sz w:val="18"/>
              </w:rPr>
              <w:t>Scaling</w:t>
            </w:r>
          </w:p>
        </w:tc>
        <w:tc>
          <w:tcPr>
            <w:tcW w:type="dxa" w:w="4968"/>
            <w:vAlign w:val="center"/>
          </w:tcPr>
          <w:p>
            <w:pPr>
              <w:spacing w:after="0"/>
            </w:pPr>
            <w:r/>
            <w:r>
              <w:rPr>
                <w:rFonts w:ascii="Arial" w:hAnsi="Arial"/>
                <w:b w:val="0"/>
                <w:sz w:val="18"/>
              </w:rPr>
              <w:t>MinMaxScaler fitted on training data</w:t>
            </w:r>
          </w:p>
        </w:tc>
      </w:tr>
      <w:tr>
        <w:tc>
          <w:tcPr>
            <w:tcW w:type="dxa" w:w="4968"/>
            <w:vAlign w:val="center"/>
            <w:shd w:fill="EAF1F8"/>
          </w:tcPr>
          <w:p>
            <w:pPr>
              <w:spacing w:after="0"/>
            </w:pPr>
            <w:r/>
            <w:r>
              <w:rPr>
                <w:rFonts w:ascii="Arial" w:hAnsi="Arial"/>
                <w:b w:val="0"/>
                <w:sz w:val="18"/>
              </w:rPr>
              <w:t>Resampling</w:t>
            </w:r>
          </w:p>
        </w:tc>
        <w:tc>
          <w:tcPr>
            <w:tcW w:type="dxa" w:w="4968"/>
            <w:vAlign w:val="center"/>
            <w:shd w:fill="EAF1F8"/>
          </w:tcPr>
          <w:p>
            <w:pPr>
              <w:spacing w:after="0"/>
            </w:pPr>
            <w:r/>
            <w:r>
              <w:rPr>
                <w:rFonts w:ascii="Arial" w:hAnsi="Arial"/>
                <w:b w:val="0"/>
                <w:sz w:val="18"/>
              </w:rPr>
              <w:t>SMOTE on training data only; validation/test untouched</w:t>
            </w:r>
          </w:p>
        </w:tc>
      </w:tr>
      <w:tr>
        <w:tc>
          <w:tcPr>
            <w:tcW w:type="dxa" w:w="4968"/>
            <w:vAlign w:val="center"/>
          </w:tcPr>
          <w:p>
            <w:pPr>
              <w:spacing w:after="0"/>
            </w:pPr>
            <w:r/>
            <w:r>
              <w:rPr>
                <w:rFonts w:ascii="Arial" w:hAnsi="Arial"/>
                <w:b w:val="0"/>
                <w:sz w:val="18"/>
              </w:rPr>
              <w:t>Model families</w:t>
            </w:r>
          </w:p>
        </w:tc>
        <w:tc>
          <w:tcPr>
            <w:tcW w:type="dxa" w:w="4968"/>
            <w:vAlign w:val="center"/>
          </w:tcPr>
          <w:p>
            <w:pPr>
              <w:spacing w:after="0"/>
            </w:pPr>
            <w:r/>
            <w:r>
              <w:rPr>
                <w:rFonts w:ascii="Arial" w:hAnsi="Arial"/>
                <w:b w:val="0"/>
                <w:sz w:val="18"/>
              </w:rPr>
              <w:t>Logistic Regression, KNN, Decision Tree</w:t>
            </w:r>
          </w:p>
        </w:tc>
      </w:tr>
      <w:tr>
        <w:tc>
          <w:tcPr>
            <w:tcW w:type="dxa" w:w="4968"/>
            <w:vAlign w:val="center"/>
            <w:shd w:fill="EAF1F8"/>
          </w:tcPr>
          <w:p>
            <w:pPr>
              <w:spacing w:after="0"/>
            </w:pPr>
            <w:r/>
            <w:r>
              <w:rPr>
                <w:rFonts w:ascii="Arial" w:hAnsi="Arial"/>
                <w:b w:val="0"/>
                <w:sz w:val="18"/>
              </w:rPr>
              <w:t>Selection rule</w:t>
            </w:r>
          </w:p>
        </w:tc>
        <w:tc>
          <w:tcPr>
            <w:tcW w:type="dxa" w:w="4968"/>
            <w:vAlign w:val="center"/>
            <w:shd w:fill="EAF1F8"/>
          </w:tcPr>
          <w:p>
            <w:pPr>
              <w:spacing w:after="0"/>
            </w:pPr>
            <w:r/>
            <w:r>
              <w:rPr>
                <w:rFonts w:ascii="Arial" w:hAnsi="Arial"/>
                <w:b w:val="0"/>
                <w:sz w:val="18"/>
              </w:rPr>
              <w:t>Highest validation attack F1-score; attack recall as tie-breaker</w:t>
            </w:r>
          </w:p>
        </w:tc>
      </w:tr>
      <w:tr>
        <w:tc>
          <w:tcPr>
            <w:tcW w:type="dxa" w:w="4968"/>
            <w:vAlign w:val="center"/>
          </w:tcPr>
          <w:p>
            <w:pPr>
              <w:spacing w:after="0"/>
            </w:pPr>
            <w:r/>
            <w:r>
              <w:rPr>
                <w:rFonts w:ascii="Arial" w:hAnsi="Arial"/>
                <w:b w:val="0"/>
                <w:sz w:val="18"/>
              </w:rPr>
              <w:t>Final evaluation</w:t>
            </w:r>
          </w:p>
        </w:tc>
        <w:tc>
          <w:tcPr>
            <w:tcW w:type="dxa" w:w="4968"/>
            <w:vAlign w:val="center"/>
          </w:tcPr>
          <w:p>
            <w:pPr>
              <w:spacing w:after="0"/>
            </w:pPr>
            <w:r/>
            <w:r>
              <w:rPr>
                <w:rFonts w:ascii="Arial" w:hAnsi="Arial"/>
                <w:b w:val="0"/>
                <w:sz w:val="18"/>
              </w:rPr>
              <w:t>Held-out test set, evaluated after model selection</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NSL-KDD Intrusion Detection | MSc Practical Machine Learning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4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