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Atlas Agro Holding</w:t>
      </w:r>
    </w:p>
    <w:p>
      <w:r>
        <w:rPr>
          <w:i/>
        </w:rPr>
        <w:t>Commentaires de gestion — Cloture Mars 2026 (YTD) — k€</w:t>
      </w:r>
    </w:p>
    <w:p>
      <w:pPr>
        <w:pStyle w:val="Heading1"/>
      </w:pPr>
      <w:r>
        <w:t>Indicateurs cles du groupe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Indicateur</w:t>
            </w:r>
          </w:p>
        </w:tc>
        <w:tc>
          <w:tcPr>
            <w:tcW w:type="dxa" w:w="2160"/>
          </w:tcPr>
          <w:p>
            <w:r>
              <w:t>Reel</w:t>
            </w:r>
          </w:p>
        </w:tc>
        <w:tc>
          <w:tcPr>
            <w:tcW w:type="dxa" w:w="2160"/>
          </w:tcPr>
          <w:p>
            <w:r>
              <w:t>vs Budget</w:t>
            </w:r>
          </w:p>
        </w:tc>
        <w:tc>
          <w:tcPr>
            <w:tcW w:type="dxa" w:w="2160"/>
          </w:tcPr>
          <w:p>
            <w:r>
              <w:t>vs N-1 / Marge</w:t>
            </w:r>
          </w:p>
        </w:tc>
      </w:tr>
      <w:tr>
        <w:tc>
          <w:tcPr>
            <w:tcW w:type="dxa" w:w="2160"/>
          </w:tcPr>
          <w:p>
            <w:r>
              <w:t>Chiffre d'affaires</w:t>
            </w:r>
          </w:p>
        </w:tc>
        <w:tc>
          <w:tcPr>
            <w:tcW w:type="dxa" w:w="2160"/>
          </w:tcPr>
          <w:p>
            <w:r>
              <w:t>50,589</w:t>
            </w:r>
          </w:p>
        </w:tc>
        <w:tc>
          <w:tcPr>
            <w:tcW w:type="dxa" w:w="2160"/>
          </w:tcPr>
          <w:p>
            <w:r>
              <w:t>-1.3%</w:t>
            </w:r>
          </w:p>
        </w:tc>
        <w:tc>
          <w:tcPr>
            <w:tcW w:type="dxa" w:w="2160"/>
          </w:tcPr>
          <w:p>
            <w:r>
              <w:t>+6.1%</w:t>
            </w:r>
          </w:p>
        </w:tc>
      </w:tr>
      <w:tr>
        <w:tc>
          <w:tcPr>
            <w:tcW w:type="dxa" w:w="2160"/>
          </w:tcPr>
          <w:p>
            <w:r>
              <w:t>Marge brute</w:t>
            </w:r>
          </w:p>
        </w:tc>
        <w:tc>
          <w:tcPr>
            <w:tcW w:type="dxa" w:w="2160"/>
          </w:tcPr>
          <w:p>
            <w:r>
              <w:t>19,718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5,159</w:t>
            </w:r>
          </w:p>
        </w:tc>
        <w:tc>
          <w:tcPr>
            <w:tcW w:type="dxa" w:w="2160"/>
          </w:tcPr>
          <w:p>
            <w:r>
              <w:t>-11.3%</w:t>
            </w:r>
          </w:p>
        </w:tc>
        <w:tc>
          <w:tcPr>
            <w:tcW w:type="dxa" w:w="2160"/>
          </w:tcPr>
          <w:p>
            <w:r>
              <w:t>10.2%</w:t>
            </w:r>
          </w:p>
        </w:tc>
      </w:tr>
      <w:tr>
        <w:tc>
          <w:tcPr>
            <w:tcW w:type="dxa" w:w="2160"/>
          </w:tcPr>
          <w:p>
            <w:r>
              <w:t>Resultat net</w:t>
            </w:r>
          </w:p>
        </w:tc>
        <w:tc>
          <w:tcPr>
            <w:tcW w:type="dxa" w:w="2160"/>
          </w:tcPr>
          <w:p>
            <w:r>
              <w:t>607</w:t>
            </w:r>
          </w:p>
        </w:tc>
        <w:tc>
          <w:tcPr>
            <w:tcW w:type="dxa" w:w="2160"/>
          </w:tcPr>
          <w:p>
            <w:r>
              <w:t>-49.7%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</w:tbl>
    <w:p>
      <w:pPr>
        <w:pStyle w:val="Heading1"/>
      </w:pPr>
      <w:r>
        <w:t>Commentaires de gestion</w:t>
      </w:r>
    </w:p>
    <w:p>
      <w:r>
        <w:rPr>
          <w:b/>
        </w:rPr>
        <w:t xml:space="preserve">Synthese : </w:t>
      </w:r>
      <w:r>
        <w:t>Le chiffre d'affaires YTD ressort à 50 589 k€, en retrait de 1,3 % sur budget mais en progression de 6,1 % sur N-1, la sous-performance étant concentrée sur Boissons &amp; Jus et Céréales &amp; Meunerie. L'EBITDA recule de 11,3 % sur budget (marge 10,2 %) et le résultat net de 49,7 %, sous l'effet combiné d'un moindre volume d'affaires et d'une dérive du coût des matières sur Sucre &amp; Conserves. Les économies de matières sur Boissons &amp; Jus et Lait ainsi que le surcroît d'activité sur Sucre &amp; Conserves n'ont que partiellement compensé ces écarts.</w:t>
      </w:r>
    </w:p>
    <w:p>
      <w:r>
        <w:rPr>
          <w:b/>
        </w:rPr>
        <w:t>Detail par ecart :</w:t>
      </w:r>
    </w:p>
    <w:p>
      <w:pPr>
        <w:pStyle w:val="ListBullet"/>
      </w:pPr>
      <w:r>
        <w:t>- Boissons &amp; Jus — Chiffre d'affaires : Écart défavorable de 601 k€, principal contributeur au manque de CA groupe ; probable effet volume lié à une saisonnalité défavorable en début d'année et à une pression accrue des marques distributeur sur ce segment.</w:t>
      </w:r>
    </w:p>
    <w:p>
      <w:pPr>
        <w:pStyle w:val="ListBullet"/>
      </w:pPr>
      <w:r>
        <w:t>- Céréales &amp; Meunerie — Chiffre d'affaires : Écart défavorable de 370 k€, vraisemblablement porté par un effet prix/volume dans un contexte de cours céréaliers volatils et de concurrence sur les références premier prix.</w:t>
      </w:r>
    </w:p>
    <w:p>
      <w:pPr>
        <w:pStyle w:val="ListBullet"/>
      </w:pPr>
      <w:r>
        <w:t>- Sucre &amp; Conserves — Chiffre d'affaires : Écart favorable de 364 k€, traduisant un effet volume positif, possiblement lié à un déstockage saisonnier des conserves et à une bonne tenue de la demande.</w:t>
      </w:r>
    </w:p>
    <w:p>
      <w:pPr>
        <w:pStyle w:val="ListBullet"/>
      </w:pPr>
      <w:r>
        <w:t>- Boissons &amp; Jus — Coût des matières : Écart favorable de 295 k€, cohérent avec le retrait d'activité (effet volume) et un possible repli des prix d'achat des concentrés et emballages.</w:t>
      </w:r>
    </w:p>
    <w:p>
      <w:pPr>
        <w:pStyle w:val="ListBullet"/>
      </w:pPr>
      <w:r>
        <w:t>- Sucre &amp; Conserves — Coût des matières : Écart défavorable de 262 k€, qui dégrade la marge malgré la hausse du CA ; probable effet prix sur le sucre et les intrants, accentué par le surcroît de volumes.</w:t>
      </w:r>
    </w:p>
    <w:p>
      <w:pPr>
        <w:pStyle w:val="ListBullet"/>
      </w:pPr>
      <w:r>
        <w:t>- Huiles &amp; Corps Gras — Chiffre d'affaires : Écart défavorable de 116 k€, vraisemblablement un effet prix dans un marché des huiles sensible aux variations des cours et au positionnement face aux MDD.</w:t>
      </w:r>
    </w:p>
    <w:p>
      <w:pPr>
        <w:pStyle w:val="ListBullet"/>
      </w:pPr>
      <w:r>
        <w:t>- Sucre &amp; Conserves — Charges de personnel : Écart défavorable de 91 k€, probablement lié au surcroît d'activité (recours à de l'intérim ou heures supplémentaires) en lien avec la hausse des volumes.</w:t>
      </w:r>
    </w:p>
    <w:p>
      <w:pPr>
        <w:pStyle w:val="ListBullet"/>
      </w:pPr>
      <w:r>
        <w:t>- Céréales &amp; Meunerie — Coût des matières : Écart défavorable de 88 k€, à rapprocher de la hausse des cours céréaliers, qui pèse sur la marge en plus du retrait du CA.</w:t>
      </w:r>
    </w:p>
    <w:p>
      <w:pPr>
        <w:pStyle w:val="ListBullet"/>
      </w:pPr>
      <w:r>
        <w:t>- Lait &amp; Produits Laitiers — Chiffre d'affaires : Écart favorable de 67 k€, traduisant un léger effet volume/mix favorable sur la période.</w:t>
      </w:r>
    </w:p>
    <w:p>
      <w:pPr>
        <w:pStyle w:val="ListBullet"/>
      </w:pPr>
      <w:r>
        <w:t>- Boissons &amp; Jus — Charges de personnel : Écart favorable de 59 k€, cohérent avec le moindre niveau d'activité de la BU et un ajustement des ressources.</w:t>
      </w:r>
    </w:p>
    <w:p>
      <w:pPr>
        <w:pStyle w:val="ListBullet"/>
      </w:pPr>
      <w:r>
        <w:t>- Boissons &amp; Jus — Marketing &amp; publicité : Écart favorable de 56 k€, probablement lié à un décalage calendaire des campagnes ou à une réallocation budgétaire compte tenu du retrait des ventes.</w:t>
      </w:r>
    </w:p>
    <w:p>
      <w:pPr>
        <w:pStyle w:val="ListBullet"/>
      </w:pPr>
      <w:r>
        <w:t>- Lait &amp; Produits Laitiers — Coût des matières : Écart favorable de 54 k€, vraisemblablement un effet prix favorable sur le lait collecté, soutenant la marge de la BU.</w:t>
      </w:r>
    </w:p>
    <w:p>
      <w:r>
        <w:rPr>
          <w:i/>
          <w:sz w:val="16"/>
        </w:rPr>
        <w:t>Document genere le 04/06/2026 a 11:45. Commentaires assistes par IA, a valider par le controle de gestion.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