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Protocol v1.0</w:t>
      </w:r>
    </w:p>
    <w:p>
      <w:pPr>
        <w:pStyle w:val="Subtitle"/>
      </w:pPr>
      <w:r>
        <w:t>Artificial Data Generation: Mechanisms, Fidelity and Downstream Utility</w:t>
      </w:r>
    </w:p>
    <w:p>
      <w:r>
        <w:t>Status: PROPOSED / NOT PREREGISTERED  •  26 October 2026  •  Prior D1–D4 findings are exploratory</w:t>
      </w:r>
    </w:p>
    <w:p>
      <w:pPr>
        <w:pStyle w:val="Heading1"/>
      </w:pPr>
      <w:r>
        <w:t>1. Purpose and scientific boundaries</w:t>
      </w:r>
    </w:p>
    <w:p>
      <w:r>
        <w:t>Primary question: How do learned synthetic generation (CTGAN), simulation-based sampling (known data-generating process, DGP), and interpolation-based augmentation (SMOTE) differ in mechanism, distributional fidelity, diversity, and downstream utility?</w:t>
      </w:r>
    </w:p>
    <w:p>
      <w:r>
        <w:t>Important taxonomy: “synthetic”, “simulated” and “augmented” are overlapping everyday terms. In this study they denote operational mechanisms, not mutually exclusive ontological classes. CTGAN and SMOTE represent specific algorithms, not their entire families.</w:t>
      </w:r>
    </w:p>
    <w:p>
      <w:pPr>
        <w:pStyle w:val="Heading1"/>
      </w:pPr>
      <w:r>
        <w:t>2. Research questions and planned claims</w:t>
      </w:r>
    </w:p>
    <w:p>
      <w:pPr>
        <w:pStyle w:val="ListBullet"/>
      </w:pPr>
      <w:r>
        <w:t>RQ1: Do the three mechanisms preserve marginal and joint properties of a reference distribution differently?</w:t>
      </w:r>
    </w:p>
    <w:p>
      <w:pPr>
        <w:pStyle w:val="ListBullet"/>
      </w:pPr>
      <w:r>
        <w:t>RQ2: When do generated samples improve minority-class prediction beyond a no-generation baseline and class weighting?</w:t>
      </w:r>
    </w:p>
    <w:p>
      <w:pPr>
        <w:pStyle w:val="ListBullet"/>
      </w:pPr>
      <w:r>
        <w:t>RQ3: Is distributional fidelity associated with downstream utility, and does this depend on classifier and data regime?</w:t>
      </w:r>
    </w:p>
    <w:p>
      <w:pPr>
        <w:pStyle w:val="ListBullet"/>
      </w:pPr>
      <w:r>
        <w:t>RQ4 (journal extension): Which findings persist across independently sourced real-world datasets?</w:t>
      </w:r>
    </w:p>
    <w:p>
      <w:r>
        <w:t>No directional hypothesis is guaranteed. Avoid claims of universal superiority; report effect sizes, uncertainty, and failure conditions.</w:t>
      </w:r>
    </w:p>
    <w:p>
      <w:pPr>
        <w:pStyle w:val="Heading1"/>
      </w:pPr>
      <w:r>
        <w:t>3. Data design and comparability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Condition</w:t>
            </w:r>
          </w:p>
        </w:tc>
        <w:tc>
          <w:tcPr>
            <w:tcW w:type="dxa" w:w="3293"/>
          </w:tcPr>
          <w:p>
            <w:r>
              <w:t>Core conference design</w:t>
            </w:r>
          </w:p>
        </w:tc>
        <w:tc>
          <w:tcPr>
            <w:tcW w:type="dxa" w:w="3293"/>
          </w:tcPr>
          <w:p>
            <w:r>
              <w:t>Rationale / check</w:t>
            </w:r>
          </w:p>
        </w:tc>
      </w:tr>
      <w:tr>
        <w:tc>
          <w:tcPr>
            <w:tcW w:type="dxa" w:w="3293"/>
          </w:tcPr>
          <w:p>
            <w:r>
              <w:t>Controlled DGP</w:t>
            </w:r>
          </w:p>
        </w:tc>
        <w:tc>
          <w:tcPr>
            <w:tcW w:type="dxa" w:w="3293"/>
          </w:tcPr>
          <w:p>
            <w:r>
              <w:t>Three regimes: imbalance/overlap; nonlinear boundary; explicit covariate shift</w:t>
            </w:r>
          </w:p>
        </w:tc>
        <w:tc>
          <w:tcPr>
            <w:tcW w:type="dxa" w:w="3293"/>
          </w:tcPr>
          <w:p>
            <w:r>
              <w:t>Known reference supports fidelity evaluation; document equations and causal assumptions</w:t>
            </w:r>
          </w:p>
        </w:tc>
      </w:tr>
      <w:tr>
        <w:tc>
          <w:tcPr>
            <w:tcW w:type="dxa" w:w="3293"/>
          </w:tcPr>
          <w:p>
            <w:r>
              <w:t>Train / validation / test</w:t>
            </w:r>
          </w:p>
        </w:tc>
        <w:tc>
          <w:tcPr>
            <w:tcW w:type="dxa" w:w="3293"/>
          </w:tcPr>
          <w:p>
            <w:r>
              <w:t>1,000 / 25% of development / 2,000 test (pilot starting point)</w:t>
            </w:r>
          </w:p>
        </w:tc>
        <w:tc>
          <w:tcPr>
            <w:tcW w:type="dxa" w:w="3293"/>
          </w:tcPr>
          <w:p>
            <w:r>
              <w:t>Report effective fit=750; conduct learning-curve sensitivity</w:t>
            </w:r>
          </w:p>
        </w:tc>
      </w:tr>
      <w:tr>
        <w:tc>
          <w:tcPr>
            <w:tcW w:type="dxa" w:w="3293"/>
          </w:tcPr>
          <w:p>
            <w:r>
              <w:t>Class prevalence</w:t>
            </w:r>
          </w:p>
        </w:tc>
        <w:tc>
          <w:tcPr>
            <w:tcW w:type="dxa" w:w="3293"/>
          </w:tcPr>
          <w:p>
            <w:r>
              <w:t>10% positive (core); 5% and 20% sensitivity</w:t>
            </w:r>
          </w:p>
        </w:tc>
        <w:tc>
          <w:tcPr>
            <w:tcW w:type="dxa" w:w="3293"/>
          </w:tcPr>
          <w:p>
            <w:r>
              <w:t>Separate prevalence effects from method effects</w:t>
            </w:r>
          </w:p>
        </w:tc>
      </w:tr>
      <w:tr>
        <w:tc>
          <w:tcPr>
            <w:tcW w:type="dxa" w:w="3293"/>
          </w:tcPr>
          <w:p>
            <w:r>
              <w:t>Repetitions</w:t>
            </w:r>
          </w:p>
        </w:tc>
        <w:tc>
          <w:tcPr>
            <w:tcW w:type="dxa" w:w="3293"/>
          </w:tcPr>
          <w:p>
            <w:r>
              <w:t>30 independently generated paired replicates, locked before execution</w:t>
            </w:r>
          </w:p>
        </w:tc>
        <w:tc>
          <w:tcPr>
            <w:tcW w:type="dxa" w:w="3293"/>
          </w:tcPr>
          <w:p>
            <w:r>
              <w:t>Use SeedSequence child streams; no cherry-picking</w:t>
            </w:r>
          </w:p>
        </w:tc>
      </w:tr>
      <w:tr>
        <w:tc>
          <w:tcPr>
            <w:tcW w:type="dxa" w:w="3293"/>
          </w:tcPr>
          <w:p>
            <w:r>
              <w:t>Generated minority budget</w:t>
            </w:r>
          </w:p>
        </w:tc>
        <w:tc>
          <w:tcPr>
            <w:tcW w:type="dxa" w:w="3293"/>
          </w:tcPr>
          <w:p>
            <w:r>
              <w:t>Match added minority count across SMOTE, CTGAN and oracle</w:t>
            </w:r>
          </w:p>
        </w:tc>
        <w:tc>
          <w:tcPr>
            <w:tcW w:type="dxa" w:w="3293"/>
          </w:tcPr>
          <w:p>
            <w:r>
              <w:t>Also report native unbalanced and class-weight controls</w:t>
            </w:r>
          </w:p>
        </w:tc>
      </w:tr>
      <w:tr>
        <w:tc>
          <w:tcPr>
            <w:tcW w:type="dxa" w:w="3293"/>
          </w:tcPr>
          <w:p>
            <w:r>
              <w:t>Real-world extension</w:t>
            </w:r>
          </w:p>
        </w:tc>
        <w:tc>
          <w:tcPr>
            <w:tcW w:type="dxa" w:w="3293"/>
          </w:tcPr>
          <w:p>
            <w:r>
              <w:t>Select ≥3 public datasets by written inclusion/exclusion criteria</w:t>
            </w:r>
          </w:p>
        </w:tc>
        <w:tc>
          <w:tcPr>
            <w:tcW w:type="dxa" w:w="3293"/>
          </w:tcPr>
          <w:p>
            <w:r>
              <w:t>Oracle DGP not a fair real-world competitor without a defensible fitted simulator</w:t>
            </w:r>
          </w:p>
        </w:tc>
      </w:tr>
    </w:tbl>
    <w:p>
      <w:pPr>
        <w:pStyle w:val="Heading1"/>
      </w:pPr>
      <w:r>
        <w:t>4. Data generation mechanisms</w:t>
      </w:r>
    </w:p>
    <w:p>
      <w:r>
        <w:t>SMOTE: apply only to training fit fold; fixed k=5 in core analysis; sensitivity k ∈ {3,5,7}, subject to minority count. Standardization and all learned preprocessing must be fit on training only, within an imbalanced-learn pipeline.</w:t>
      </w:r>
    </w:p>
    <w:p>
      <w:r>
        <w:t>CTGAN: fit only on the same training fit fold; log package version, architecture, epochs, batch size, early-stopping/validation rule, generated class conditioning, valid-sample yield, training time and failures. Epoch=100 is pilot, not an established optimum. Hyperparameter selection must use inner validation, never test.</w:t>
      </w:r>
    </w:p>
    <w:p>
      <w:r>
        <w:t>Simulation: draw minority examples from the explicitly stated DGP using independent RNG streams; label it oracle-informed reference. For shifted test conditions specify whether simulator knows source or target DGP. Never compare it as an equally informed competitor.</w:t>
      </w:r>
    </w:p>
    <w:p>
      <w:pPr>
        <w:pStyle w:val="Heading1"/>
      </w:pPr>
      <w:r>
        <w:t>5. Dataset and seed justification</w:t>
      </w:r>
    </w:p>
    <w:p>
      <w:r>
        <w:t>Sample size is an experimental factor, not an unexplained constant. Core N=1,000 is a tractable pilot choice; verify stability using N ∈ {500,1,000,2,000} and test sizes large enough to obtain adequate positive counts. Document class counts for every split, not just expected percentages.</w:t>
      </w:r>
    </w:p>
    <w:p>
      <w:r>
        <w:t>Seed values have no scientific magic. Precommit 30 replication indices (0–29) and derive independent generator streams for train, test, split, SMOTE, CTGAN and oracle with NumPy SeedSequence; save the mapping. A replication is the paired experimental unit. Fixing 30 repeats improves precision but does not create 30 independent real-world datasets.</w:t>
      </w:r>
    </w:p>
    <w:p>
      <w:pPr>
        <w:pStyle w:val="Heading1"/>
      </w:pPr>
      <w:r>
        <w:t>6. Evaluation protocol and leakage prevention</w:t>
      </w:r>
    </w:p>
    <w:p>
      <w:pPr>
        <w:pStyle w:val="ListBullet"/>
      </w:pPr>
      <w:r>
        <w:t>Generate/split train, validation, test before augmentation. Fit preprocessing and generators exclusively on fit data.</w:t>
      </w:r>
    </w:p>
    <w:p>
      <w:pPr>
        <w:pStyle w:val="ListBullet"/>
      </w:pPr>
      <w:r>
        <w:t>Use identical fit/validation/test instances for all methods within each replicate; keep test untouched for tuning.</w:t>
      </w:r>
    </w:p>
    <w:p>
      <w:pPr>
        <w:pStyle w:val="ListBullet"/>
      </w:pPr>
      <w:r>
        <w:t>Report F1 at a fixed 0.5 threshold as descriptive; select tuned threshold on validation only, then evaluate once on test.</w:t>
      </w:r>
    </w:p>
    <w:p>
      <w:pPr>
        <w:pStyle w:val="ListBullet"/>
      </w:pPr>
      <w:r>
        <w:t>Primary distributional outcomes: standardized-feature MMD² (fixed kernel protocol) plus per-feature discrepancy and correlation error; add diversity/duplicate checks.</w:t>
      </w:r>
    </w:p>
    <w:p>
      <w:pPr>
        <w:pStyle w:val="ListBullet"/>
      </w:pPr>
      <w:r>
        <w:t>Primary predictive outcome (to predeclare): minority average precision (AP; often called PR-AUC). Secondary: minority F1, precision, recall, balanced accuracy and AUROC. Report prevalence as AP baseline context.</w:t>
      </w:r>
    </w:p>
    <w:p>
      <w:pPr>
        <w:pStyle w:val="ListBullet"/>
      </w:pPr>
      <w:r>
        <w:t>Report runtime, CTGAN sampling validity, and failure rates; do not silently drop failed runs.</w:t>
      </w:r>
    </w:p>
    <w:p>
      <w:r>
        <w:t>Note: F1 and AP answer different questions. F1 depends on the decision threshold; AP summarizes precision–recall ranking over thresholds. If F1 is retained as primary for a particular application, document the relative costs of false positives and false negatives.</w:t>
      </w:r>
    </w:p>
    <w:p>
      <w:pPr>
        <w:pStyle w:val="Heading1"/>
      </w:pPr>
      <w:r>
        <w:t>7. Analysis plan (precommit before new runs)</w:t>
      </w:r>
    </w:p>
    <w:p>
      <w:r>
        <w:t>Compute per-replicate paired differences versus the baseline, with mean, median and interval estimates. Define a limited primary comparison family (e.g., CTGAN vs SMOTE vs oracle on AP in each prespecified regime/classifier) and control multiplicity with Holm. Treat all additional contrasts as exploratory. Show raw paired differences and dispersion, not only p-values.</w:t>
      </w:r>
    </w:p>
    <w:p>
      <w:r>
        <w:t>Use confidence intervals from a defensible replicate-level procedure; inspect paired-difference distributions. With n=5, two-sided exact sign-flip tests have minimum attainable p=0.0625; earlier t-test “significance” is assumption-sensitive. Revisit inference after n=30 and distinguish random-seed variability from dataset-to-dataset generalization.</w:t>
      </w:r>
    </w:p>
    <w:p>
      <w:pPr>
        <w:pStyle w:val="Heading1"/>
      </w:pPr>
      <w:r>
        <w:t>8. Code audit: current D4 pilot</w:t>
      </w:r>
    </w:p>
    <w:p>
      <w:pPr>
        <w:pStyle w:val="ListBullet"/>
      </w:pPr>
      <w:r>
        <w:t>Verified from experiment_d4.py: training n=1,000, test n=2,000, validation fraction 0.25, SMOTE k=5, RF 250 trees, CTGAN default 100 epochs, five seed IDs.</w:t>
      </w:r>
    </w:p>
    <w:p>
      <w:pPr>
        <w:pStyle w:val="ListBullet"/>
      </w:pPr>
      <w:r>
        <w:t>D1 and D3 share a similar class mechanism; D3 test shift adds +1.5 to latent z3 and then computes sin(z3), i.e., a specified feature/covariate intervention, not a universal domain-shift benchmark.</w:t>
      </w:r>
    </w:p>
    <w:p>
      <w:pPr>
        <w:pStyle w:val="ListBullet"/>
      </w:pPr>
      <w:r>
        <w:t>The same validation fold is used to select threshold after model fitting; generated samples are based only on fit data. Confirm CTGAN conditional-label output and library compatibility in unit tests.</w:t>
      </w:r>
    </w:p>
    <w:p>
      <w:pPr>
        <w:pStyle w:val="ListBullet"/>
      </w:pPr>
      <w:r>
        <w:t>CTGAN is fitted on all fit observations, including only ~75 minority observations at 10% prevalence. Weak CTGAN results cannot be generalized to well-resourced settings.</w:t>
      </w:r>
    </w:p>
    <w:p>
      <w:pPr>
        <w:pStyle w:val="ListBullet"/>
      </w:pPr>
      <w:r>
        <w:t>Current D4 is a predictive-utility experiment: it does not itself report comprehensive distributional fidelity/diversity. Earlier D2/D3 MMD is not automatically a D4 outcome.</w:t>
      </w:r>
    </w:p>
    <w:p>
      <w:pPr>
        <w:pStyle w:val="Heading1"/>
      </w:pPr>
      <w:r>
        <w:t>9. Two-stage publication boundary</w:t>
      </w:r>
    </w:p>
    <w:p>
      <w:r>
        <w:t>Conference: operational taxonomy + three controlled regimes + locked paired protocol + limited fidelity and utility metrics + uncertainty; no broad real-world generalization.</w:t>
      </w:r>
    </w:p>
    <w:p>
      <w:r>
        <w:t>Journal: independently selected real-world datasets; richer fidelity/diversity and utility measures; learning curves, hyperparameter and cost sensitivity; explicit simulation-model limitations. Add genuinely new evidence rather than republishing the same experiment.</w:t>
      </w:r>
    </w:p>
    <w:p>
      <w:pPr>
        <w:pStyle w:val="Heading1"/>
      </w:pPr>
      <w:r>
        <w:t>10. Acceptance gates before drafting the conference paper</w:t>
      </w:r>
    </w:p>
    <w:p>
      <w:r>
        <w:t>☐ Freeze DGP equations and unit-test sample class ratios, feature shapes and shift magnitude.</w:t>
      </w:r>
    </w:p>
    <w:p>
      <w:r>
        <w:t>☐ Freeze split/seed generation and add leakage tests; record Python/package versions and machine details.</w:t>
      </w:r>
    </w:p>
    <w:p>
      <w:r>
        <w:t>☐ Pilot 2–3 repeats to test correctness; freeze protocol and comparison family before full rerun.</w:t>
      </w:r>
    </w:p>
    <w:p>
      <w:r>
        <w:t>☐ Run 30 paired replicates; archive all outputs including failures and run manifest.</w:t>
      </w:r>
    </w:p>
    <w:p>
      <w:r>
        <w:t>☐ Independently recompute tables/figures from raw CSV and verify every numeric statement.</w:t>
      </w:r>
    </w:p>
    <w:p>
      <w:r>
        <w:t>☐ Write limitations and ensure title, abstract, methods and figures describe the same study.</w:t>
      </w:r>
    </w:p>
    <w:p>
      <w:pPr>
        <w:pStyle w:val="Heading1"/>
      </w:pPr>
      <w:r>
        <w:t>11. Foundational references (to verify in final bibliography)</w:t>
      </w:r>
    </w:p>
    <w:p>
      <w:pPr>
        <w:pStyle w:val="ListBullet"/>
      </w:pPr>
      <w:r>
        <w:t>Chawla, N. V., et al. (2002). SMOTE: Synthetic Minority Over-sampling Technique. Journal of Artificial Intelligence Research, 16, 321–357. DOI: 10.1613/jair.953.</w:t>
      </w:r>
    </w:p>
    <w:p>
      <w:pPr>
        <w:pStyle w:val="ListBullet"/>
      </w:pPr>
      <w:r>
        <w:t>Xu, L., et al. (2019). Modeling Tabular Data using Conditional GAN. NeurIPS 32.</w:t>
      </w:r>
    </w:p>
    <w:p>
      <w:pPr>
        <w:pStyle w:val="ListBullet"/>
      </w:pPr>
      <w:r>
        <w:t>Saito, T., &amp; Rehmsmeier, M. (2015). The Precision-Recall Plot Is More Informative than the ROC Plot When Evaluating Binary Classifiers on Imbalanced Datasets. PLOS ONE, 10(3), e0118432. DOI: 10.1371/journal.pone.0118432.</w:t>
      </w:r>
    </w:p>
    <w:p>
      <w:pPr>
        <w:pStyle w:val="ListBullet"/>
      </w:pPr>
      <w:r>
        <w:t>Demšar, J. (2006). Statistical Comparisons of Classifiers over Multiple Data Sets. JMLR, 7, 1–30.</w:t>
      </w:r>
    </w:p>
    <w:p>
      <w:pPr>
        <w:pStyle w:val="ListBullet"/>
      </w:pPr>
      <w:r>
        <w:t>Nadeau, C., &amp; Bengio, Y. (2003). Inference for the Generalization Error. Machine Learning, 52, 239–281.</w:t>
      </w:r>
    </w:p>
    <w:p>
      <w:r>
        <w:t>Decision log: This protocol is a proposal. Core AP vs F1 primary-outcome choice, data regimes and dataset selection criteria must be explicitly approved and frozen before confirmatory runs. No previous D4 p-values are treated as confirmatory.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Research Protocol v1.0  • 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6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6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6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