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AB99F4">
      <w:pPr>
        <w:rPr>
          <w:rFonts w:hint="default"/>
          <w:lang w:val="en-IN"/>
        </w:rPr>
      </w:pPr>
      <w:r>
        <w:rPr>
          <w:rFonts w:hint="default"/>
          <w:lang w:val="en-IN"/>
        </w:rPr>
        <w:t>Roadmap Proposal -</w:t>
      </w:r>
    </w:p>
    <w:p w14:paraId="242CB849">
      <w:pPr>
        <w:rPr>
          <w:rFonts w:hint="default"/>
          <w:lang w:val="en-IN"/>
        </w:rPr>
      </w:pPr>
    </w:p>
    <w:p w14:paraId="4965B97F">
      <w:pPr>
        <w:pStyle w:val="2"/>
        <w:keepNext w:val="0"/>
        <w:keepLines w:val="0"/>
        <w:widowControl/>
        <w:suppressLineNumbers w:val="0"/>
      </w:pPr>
      <w:r>
        <w:t xml:space="preserve">The decision that drives everything: do you </w:t>
      </w:r>
      <w:r>
        <w:rPr>
          <w:rStyle w:val="5"/>
        </w:rPr>
        <w:t>touch</w:t>
      </w:r>
      <w:r>
        <w:t xml:space="preserve"> the money, or just </w:t>
      </w:r>
      <w:r>
        <w:rPr>
          <w:rStyle w:val="5"/>
        </w:rPr>
        <w:t>connect</w:t>
      </w:r>
      <w:r>
        <w:t xml:space="preserve"> people?</w:t>
      </w:r>
    </w:p>
    <w:p w14:paraId="3C7BAAC5">
      <w:pPr>
        <w:pStyle w:val="7"/>
        <w:keepNext w:val="0"/>
        <w:keepLines w:val="0"/>
        <w:widowControl/>
        <w:suppressLineNumbers w:val="0"/>
        <w:spacing w:before="0" w:beforeAutospacing="1" w:after="0" w:afterAutospacing="1"/>
        <w:ind w:left="0" w:right="0"/>
      </w:pPr>
      <w:r>
        <w:t>There are two fundamentally different businesses hiding inside your description:</w:t>
      </w:r>
    </w:p>
    <w:p w14:paraId="7D7AB19D">
      <w:pPr>
        <w:pStyle w:val="7"/>
        <w:keepNext w:val="0"/>
        <w:keepLines w:val="0"/>
        <w:widowControl/>
        <w:suppressLineNumbers w:val="0"/>
        <w:spacing w:before="0" w:beforeAutospacing="1" w:after="0" w:afterAutospacing="1"/>
        <w:ind w:left="0" w:right="0"/>
      </w:pPr>
      <w:r>
        <w:rPr>
          <w:rStyle w:val="8"/>
        </w:rPr>
        <w:t>Model A — Custodian.</w:t>
      </w:r>
      <w:r>
        <w:t xml:space="preserve"> You collect zakat into your own accounts and disburse it to beneficiaries or partner NGOs. This sounds natural but is the harder path in India by a wide margin. The moment funds pool in your accounts on behalf of others, you fall under the RBI's Payment Aggregators Directions, 2025, which require a minimum net worth of ₹15 crore rising to ₹25 crore by the third year, PCI-DSS certification, escrow accounts, and RBI authorization that takes months. A PA licence is mandatory only for entities that handle or pool funds on behalf of others; companies that provide only technology infrastructure without touching funds do not need one. For a founding team, becoming a fund custodian is effectively a non-starter unless you're a registered charity disbursing your </w:t>
      </w:r>
      <w:r>
        <w:rPr>
          <w:rStyle w:val="5"/>
        </w:rPr>
        <w:t>own</w:t>
      </w:r>
      <w:r>
        <w:t xml:space="preserve"> collected funds (not aggregating for others). </w:t>
      </w:r>
      <w:r>
        <w:fldChar w:fldCharType="begin"/>
      </w:r>
      <w:r>
        <w:instrText xml:space="preserve"> HYPERLINK "https://www.incorpx.io/blog/rbi-payment-aggregator-license-2026" \t "_blank" </w:instrText>
      </w:r>
      <w:r>
        <w:fldChar w:fldCharType="separate"/>
      </w:r>
      <w:r>
        <w:rPr>
          <w:rStyle w:val="6"/>
        </w:rPr>
        <w:t>IncorpX</w:t>
      </w:r>
      <w:r>
        <w:fldChar w:fldCharType="end"/>
      </w:r>
    </w:p>
    <w:p w14:paraId="2D1E9658">
      <w:pPr>
        <w:pStyle w:val="7"/>
        <w:keepNext w:val="0"/>
        <w:keepLines w:val="0"/>
        <w:widowControl/>
        <w:suppressLineNumbers w:val="0"/>
        <w:spacing w:before="0" w:beforeAutospacing="1" w:after="0" w:afterAutospacing="1"/>
        <w:ind w:left="0" w:right="0"/>
      </w:pPr>
      <w:r>
        <w:rPr>
          <w:rStyle w:val="8"/>
        </w:rPr>
        <w:t>Model B — Connector / orchestrator.</w:t>
      </w:r>
      <w:r>
        <w:t xml:space="preserve"> You verify beneficiaries and NGOs, publish vetted "causes," and let the donor's money flow </w:t>
      </w:r>
      <w:r>
        <w:rPr>
          <w:rStyle w:val="5"/>
        </w:rPr>
        <w:t>directly</w:t>
      </w:r>
      <w:r>
        <w:t xml:space="preserve"> to the end recipient (or the partner NGO) through a licensed third-party payment gateway. You never hold the funds. This is exactly how the main existing Indian player operates: IndiaZakat connects zakat givers to verified causes raised by beneficiaries individually or through NGOs, after KYC and Shariah verification, with the payment gateway deducting roughly 2% before funds reach the beneficiary. The platform itself is built by a for-profit tech company that open-sourced it for registered NGOs and trusts.</w:t>
      </w:r>
    </w:p>
    <w:p w14:paraId="74529E95">
      <w:pPr>
        <w:pStyle w:val="7"/>
        <w:keepNext w:val="0"/>
        <w:keepLines w:val="0"/>
        <w:widowControl/>
        <w:suppressLineNumbers w:val="0"/>
        <w:spacing w:before="0" w:beforeAutospacing="1" w:after="0" w:afterAutospacing="1"/>
        <w:ind w:left="0" w:right="0"/>
      </w:pPr>
      <w:r>
        <w:t xml:space="preserve">My strong recommendation is </w:t>
      </w:r>
      <w:r>
        <w:rPr>
          <w:rStyle w:val="8"/>
        </w:rPr>
        <w:t>Model B</w:t>
      </w:r>
      <w:r>
        <w:t>. It's the only version that's feasible, secure, and fast for a founding team, and it also happens to be the most trustworthy design — because the money never sits with an intermediary, which is precisely what zakat givers worry about.</w:t>
      </w:r>
    </w:p>
    <w:p w14:paraId="5D362C22">
      <w:pPr>
        <w:pStyle w:val="7"/>
        <w:keepNext w:val="0"/>
        <w:keepLines w:val="0"/>
        <w:widowControl/>
        <w:suppressLineNumbers w:val="0"/>
        <w:spacing w:before="0" w:beforeAutospacing="1" w:after="0" w:afterAutospacing="1"/>
        <w:ind w:left="0" w:right="0"/>
      </w:pPr>
      <w:r>
        <w:t xml:space="preserve">There's a second, decisive legal reason to avoid pooling-and-redistributing, especially for foreign zakat: </w:t>
      </w:r>
      <w:r>
        <w:rPr>
          <w:rStyle w:val="8"/>
        </w:rPr>
        <w:t>FCRA now bans sub-granting.</w:t>
      </w:r>
      <w:r>
        <w:t xml:space="preserve"> The FCRA framework prohibits sub-granting foreign contributions to other organisations, caps administrative expenses at 20%, requires a single SBI New Delhi account, and mandates NGO Darpan registration; individuals essentially cannot receive foreign contributions. So a design where you collect overseas zakat and pass it to partner NGOs is not just hard — it's illegal. Foreign donors must give </w:t>
      </w:r>
      <w:r>
        <w:rPr>
          <w:rStyle w:val="5"/>
        </w:rPr>
        <w:t>directly</w:t>
      </w:r>
      <w:r>
        <w:t xml:space="preserve"> to the FCRA-registered end NGO. Your platform can route them there, but cannot be the conduit. </w:t>
      </w:r>
      <w:r>
        <w:fldChar w:fldCharType="begin"/>
      </w:r>
      <w:r>
        <w:instrText xml:space="preserve"> HYPERLINK "https://www.patronaccounting.com/blog/fcra-registration-ngo-foreign-donations-india" \t "_blank" </w:instrText>
      </w:r>
      <w:r>
        <w:fldChar w:fldCharType="separate"/>
      </w:r>
      <w:r>
        <w:rPr>
          <w:rStyle w:val="6"/>
        </w:rPr>
        <w:t>Patron Accounting</w:t>
      </w:r>
      <w:r>
        <w:fldChar w:fldCharType="end"/>
      </w:r>
    </w:p>
    <w:p w14:paraId="37959C8F">
      <w:pPr>
        <w:pStyle w:val="2"/>
        <w:keepNext w:val="0"/>
        <w:keepLines w:val="0"/>
        <w:widowControl/>
        <w:suppressLineNumbers w:val="0"/>
      </w:pPr>
      <w:r>
        <w:t>What identity to build — and what to avoid</w:t>
      </w:r>
    </w:p>
    <w:p w14:paraId="3E5593E3">
      <w:pPr>
        <w:pStyle w:val="7"/>
        <w:keepNext w:val="0"/>
        <w:keepLines w:val="0"/>
        <w:widowControl/>
        <w:suppressLineNumbers w:val="0"/>
        <w:spacing w:before="0" w:beforeAutospacing="1" w:after="0" w:afterAutospacing="1"/>
        <w:ind w:left="0" w:right="0"/>
      </w:pPr>
      <w:r>
        <w:rPr>
          <w:rStyle w:val="8"/>
        </w:rPr>
        <w:t>Do not build this as a political-backed foundation.</w:t>
      </w:r>
      <w:r>
        <w:t xml:space="preserve"> This is the clearest "no" in your list. Political backing destroys the two things zakat depends on: neutrality and donor trust. It also creates direct regulatory hazard — office bearers of political parties face specific FCRA restrictions, and any perception of political capture will deter both donors (who need to know their obligatory charity reaches the eligible poor, not a cause) and the ulema whose endorsement you'll need. Zakat has to reach the eight Quranic categories of recipients cleanly; a political shadow poisons that.</w:t>
      </w:r>
    </w:p>
    <w:p w14:paraId="74657634">
      <w:pPr>
        <w:pStyle w:val="7"/>
        <w:keepNext w:val="0"/>
        <w:keepLines w:val="0"/>
        <w:widowControl/>
        <w:suppressLineNumbers w:val="0"/>
        <w:spacing w:before="0" w:beforeAutospacing="1" w:after="0" w:afterAutospacing="1"/>
        <w:ind w:left="0" w:right="0"/>
      </w:pPr>
      <w:r>
        <w:t xml:space="preserve">The identity that actually builds trust between givers and seekers is </w:t>
      </w:r>
      <w:r>
        <w:rPr>
          <w:rStyle w:val="8"/>
        </w:rPr>
        <w:t>a hybrid structure</w:t>
      </w:r>
      <w:r>
        <w:t>, which is common for tech-enabled social enterprises:</w:t>
      </w:r>
    </w:p>
    <w:p w14:paraId="4D5C5106">
      <w:pPr>
        <w:keepNext w:val="0"/>
        <w:keepLines w:val="0"/>
        <w:widowControl/>
        <w:numPr>
          <w:ilvl w:val="0"/>
          <w:numId w:val="1"/>
        </w:numPr>
        <w:suppressLineNumbers w:val="0"/>
        <w:spacing w:before="0" w:beforeAutospacing="1" w:after="0" w:afterAutospacing="1"/>
        <w:ind w:left="720" w:hanging="360"/>
      </w:pPr>
      <w:r>
        <w:rPr>
          <w:rStyle w:val="8"/>
        </w:rPr>
        <w:t>A Section 8 company</w:t>
      </w:r>
      <w:r>
        <w:t xml:space="preserve"> (or a public charitable trust registered under the Maharashtra Public Trusts Act) as the mission-holding, credibility-bearing entity. Section 8 is usually the better choice for a tech platform: it's a company, so it looks professional to partners and can hold contracts and IP, but it's non-profit by charter. This entity gets the tax registrations and holds the Shariah governance.</w:t>
      </w:r>
    </w:p>
    <w:p w14:paraId="623FBC2F">
      <w:pPr>
        <w:keepNext w:val="0"/>
        <w:keepLines w:val="0"/>
        <w:widowControl/>
        <w:numPr>
          <w:ilvl w:val="0"/>
          <w:numId w:val="1"/>
        </w:numPr>
        <w:suppressLineNumbers w:val="0"/>
        <w:spacing w:before="0" w:beforeAutospacing="1" w:after="0" w:afterAutospacing="1"/>
        <w:ind w:left="720" w:hanging="360"/>
      </w:pPr>
      <w:r>
        <w:rPr>
          <w:rStyle w:val="8"/>
        </w:rPr>
        <w:t>Optionally, a separate private limited company</w:t>
      </w:r>
      <w:r>
        <w:t xml:space="preserve"> that owns and licenses the technology platform, so the venture can be financially sustainable (SaaS licensing to NGOs, like the open-sourcing model above) without commingling charitable and commercial money.</w:t>
      </w:r>
    </w:p>
    <w:p w14:paraId="487F77B8">
      <w:pPr>
        <w:pStyle w:val="7"/>
        <w:keepNext w:val="0"/>
        <w:keepLines w:val="0"/>
        <w:widowControl/>
        <w:suppressLineNumbers w:val="0"/>
        <w:spacing w:before="0" w:beforeAutospacing="1" w:after="0" w:afterAutospacing="1"/>
        <w:ind w:left="0" w:right="0"/>
      </w:pPr>
      <w:r>
        <w:t xml:space="preserve">For the tax registrations, note the law changed underneath you very recently. The Income Tax Act, 1961 has been repealed and the new Income Tax Act, 2025 came into force on April 1, 2026, so the old "12A/80G" numbering is being replaced — RNPO/income tax exemption now sits under Section 332 of the IT Act 2025, and this is entirely separate from FCRA, which only governs foreign funds. New NGOs get a provisional registration valid for three years, then apply for regular registration via Form 10AB valid for five years; applications must be filed at least a month before the assessment year or within six months of commencing activities. You'll want the donor-deduction registration (the successor to 80G) because it's a major trust and fundraising lever. </w:t>
      </w:r>
      <w:r>
        <w:fldChar w:fldCharType="begin"/>
      </w:r>
      <w:r>
        <w:instrText xml:space="preserve"> HYPERLINK "https://www.icnl.org/resources/civic-freedom-monitor/india" \t "_blank" </w:instrText>
      </w:r>
      <w:r>
        <w:fldChar w:fldCharType="separate"/>
      </w:r>
      <w:r>
        <w:rPr>
          <w:rStyle w:val="6"/>
        </w:rPr>
        <w:t>ICNL + 2</w:t>
      </w:r>
      <w:r>
        <w:fldChar w:fldCharType="end"/>
      </w:r>
    </w:p>
    <w:p w14:paraId="0C751E29">
      <w:pPr>
        <w:pStyle w:val="7"/>
        <w:keepNext w:val="0"/>
        <w:keepLines w:val="0"/>
        <w:widowControl/>
        <w:suppressLineNumbers w:val="0"/>
        <w:spacing w:before="0" w:beforeAutospacing="1" w:after="0" w:afterAutospacing="1"/>
        <w:ind w:left="0" w:right="0"/>
      </w:pPr>
      <w:r>
        <w:t>The trust architecture that matters most to your two audiences:</w:t>
      </w:r>
    </w:p>
    <w:p w14:paraId="600BFEFF">
      <w:pPr>
        <w:keepNext w:val="0"/>
        <w:keepLines w:val="0"/>
        <w:widowControl/>
        <w:numPr>
          <w:ilvl w:val="0"/>
          <w:numId w:val="2"/>
        </w:numPr>
        <w:suppressLineNumbers w:val="0"/>
        <w:spacing w:before="0" w:beforeAutospacing="1" w:after="0" w:afterAutospacing="1"/>
        <w:ind w:left="720" w:hanging="360"/>
      </w:pPr>
      <w:r>
        <w:rPr>
          <w:rStyle w:val="8"/>
        </w:rPr>
        <w:t>For zakat givers:</w:t>
      </w:r>
      <w:r>
        <w:t xml:space="preserve"> a visible Shariah advisory board of recognized ulema, published rulings on eligibility, per-cause documentation, post-disbursement updates with proof, and audited annual accounts. The real players lead with exactly this — endorsement by named ulema and verified causes with documents are their headline trust signals.</w:t>
      </w:r>
    </w:p>
    <w:p w14:paraId="377BFA06">
      <w:pPr>
        <w:keepNext w:val="0"/>
        <w:keepLines w:val="0"/>
        <w:widowControl/>
        <w:numPr>
          <w:ilvl w:val="0"/>
          <w:numId w:val="2"/>
        </w:numPr>
        <w:suppressLineNumbers w:val="0"/>
        <w:spacing w:before="0" w:beforeAutospacing="1" w:after="0" w:afterAutospacing="1"/>
        <w:ind w:left="720" w:hanging="360"/>
      </w:pPr>
      <w:r>
        <w:rPr>
          <w:rStyle w:val="8"/>
        </w:rPr>
        <w:t>For seekers and partner NGOs:</w:t>
      </w:r>
      <w:r>
        <w:t xml:space="preserve"> a clear, dignified verification process, fast turnaround, and no fee extracted from the beneficiary's zakat (recover your costs from the tech-licensing/CSR side or voluntary "sadaqah for platform" top-ups, never by skimming zakat, which raises fiqh problems).</w:t>
      </w:r>
    </w:p>
    <w:p w14:paraId="0C8C37F1">
      <w:pPr>
        <w:pStyle w:val="2"/>
        <w:keepNext w:val="0"/>
        <w:keepLines w:val="0"/>
        <w:widowControl/>
        <w:suppressLineNumbers w:val="0"/>
      </w:pPr>
      <w:r>
        <w:t>A feasible, secure roadmap</w:t>
      </w:r>
    </w:p>
    <w:p w14:paraId="4C0671F5">
      <w:pPr>
        <w:pStyle w:val="7"/>
        <w:keepNext w:val="0"/>
        <w:keepLines w:val="0"/>
        <w:widowControl/>
        <w:suppressLineNumbers w:val="0"/>
        <w:spacing w:before="0" w:beforeAutospacing="1" w:after="0" w:afterAutospacing="1"/>
        <w:ind w:left="0" w:right="0"/>
      </w:pPr>
      <w:r>
        <w:rPr>
          <w:rStyle w:val="8"/>
        </w:rPr>
        <w:t>Phase 0 — Foundations (weeks 1–6).</w:t>
      </w:r>
      <w:r>
        <w:t xml:space="preserve"> Lock the model (Model B connector). Convene three advisors before you build anything: a Shariah scholar/board, a CA experienced in NGO and the new IT Act 2025 regime, and a lawyer who does FCRA and Section 8 work. Write your zakat policy: which of the eight asnaf you serve, eligibility rules, disbursement timelines, and the strict segregation of zakat from any other funds.</w:t>
      </w:r>
    </w:p>
    <w:p w14:paraId="2C8F9D0F">
      <w:pPr>
        <w:pStyle w:val="7"/>
        <w:keepNext w:val="0"/>
        <w:keepLines w:val="0"/>
        <w:widowControl/>
        <w:suppressLineNumbers w:val="0"/>
        <w:spacing w:before="0" w:beforeAutospacing="1" w:afterAutospacing="1"/>
        <w:ind w:left="0" w:right="0"/>
      </w:pPr>
      <w:r>
        <w:rPr>
          <w:rStyle w:val="8"/>
        </w:rPr>
        <w:t>Phase 1 — Entity &amp; registrations (months 2–5).</w:t>
      </w:r>
      <w:r>
        <w:t xml:space="preserve"> Incorporate the Section 8 company (and the tech Pvt Ltd if you're doing the hybrid). Register on NGO Darpan. Apply for the RNPO exemption and the donor-deduction registration. Defer FCRA — you typically need a track record before it's granted, and you may not need it at all if foreign donors give directly to end NGOs.</w:t>
      </w:r>
    </w:p>
    <w:p w14:paraId="384C45FD">
      <w:pPr>
        <w:pStyle w:val="7"/>
        <w:keepNext w:val="0"/>
        <w:keepLines w:val="0"/>
        <w:widowControl/>
        <w:suppressLineNumbers w:val="0"/>
        <w:spacing w:before="0" w:beforeAutospacing="1" w:afterAutospacing="1"/>
        <w:ind w:left="0" w:right="0"/>
      </w:pPr>
      <w:r>
        <w:rPr>
          <w:rStyle w:val="8"/>
        </w:rPr>
        <w:t>Phase 2 — The verification engine (months 3–6, parallel).</w:t>
      </w:r>
      <w:r>
        <w:t xml:space="preserve"> This </w:t>
      </w:r>
      <w:r>
        <w:rPr>
          <w:rStyle w:val="5"/>
        </w:rPr>
        <w:t>is</w:t>
      </w:r>
      <w:r>
        <w:t xml:space="preserve"> your product. Build two vetting pipelines: (a) beneficiary KYC and needs-verification against your asnaf criteria, and (b) partner-NGO due diligence (registration, 80G-successor status, FCRA status if relevant, audited accounts, references). Document every rule so decisions are consistent and defensible.</w:t>
      </w:r>
    </w:p>
    <w:p w14:paraId="3EACF3B6">
      <w:pPr>
        <w:pStyle w:val="7"/>
        <w:keepNext w:val="0"/>
        <w:keepLines w:val="0"/>
        <w:widowControl/>
        <w:suppressLineNumbers w:val="0"/>
        <w:spacing w:before="0" w:beforeAutospacing="1" w:afterAutospacing="1"/>
        <w:ind w:left="0" w:right="0"/>
      </w:pPr>
      <w:r>
        <w:rPr>
          <w:rStyle w:val="8"/>
        </w:rPr>
        <w:t>Phase 3 — Payments without touching money (months 4–6).</w:t>
      </w:r>
      <w:r>
        <w:t xml:space="preserve"> Integrate a licensed payment aggregator/gateway so funds settle </w:t>
      </w:r>
      <w:r>
        <w:rPr>
          <w:rStyle w:val="5"/>
        </w:rPr>
        <w:t>directly</w:t>
      </w:r>
      <w:r>
        <w:t xml:space="preserve"> to the beneficiary's or partner NGO's account. Your platform records and reconciles but never becomes the account of record. This keeps you out of PA licensing entirely.</w:t>
      </w:r>
    </w:p>
    <w:p w14:paraId="018B3AF5">
      <w:pPr>
        <w:pStyle w:val="7"/>
        <w:keepNext w:val="0"/>
        <w:keepLines w:val="0"/>
        <w:widowControl/>
        <w:suppressLineNumbers w:val="0"/>
        <w:spacing w:before="0" w:beforeAutospacing="1" w:afterAutospacing="1"/>
        <w:ind w:left="0" w:right="0"/>
      </w:pPr>
      <w:r>
        <w:rPr>
          <w:rStyle w:val="8"/>
        </w:rPr>
        <w:t>Phase 4 — Pilot (months 6–9).</w:t>
      </w:r>
      <w:r>
        <w:t xml:space="preserve"> Run a small cohort of causes with heavy manual oversight and full transparency reporting. Publish an impact report. Get your Shariah board to certify the process end-to-end.</w:t>
      </w:r>
    </w:p>
    <w:p w14:paraId="507756F2">
      <w:pPr>
        <w:pStyle w:val="7"/>
        <w:keepNext w:val="0"/>
        <w:keepLines w:val="0"/>
        <w:widowControl/>
        <w:suppressLineNumbers w:val="0"/>
        <w:spacing w:before="0" w:beforeAutospacing="1" w:afterAutospacing="1"/>
        <w:ind w:left="0" w:right="0"/>
      </w:pPr>
      <w:r>
        <w:rPr>
          <w:rStyle w:val="8"/>
        </w:rPr>
        <w:t>Phase 5 — Scale (month 9+).</w:t>
      </w:r>
      <w:r>
        <w:t xml:space="preserve"> Onboard more NGOs, consider licensing the platform to them, and only then evaluate FCRA if a direct-to-donor foreign flow proves insufficient.</w:t>
      </w:r>
    </w:p>
    <w:p w14:paraId="491AF06E">
      <w:pPr>
        <w:pStyle w:val="2"/>
        <w:keepNext w:val="0"/>
        <w:keepLines w:val="0"/>
        <w:widowControl/>
        <w:suppressLineNumbers w:val="0"/>
      </w:pPr>
      <w:r>
        <w:t>Documentation, procedures, and security you'll need</w:t>
      </w:r>
    </w:p>
    <w:p w14:paraId="0A187E60">
      <w:pPr>
        <w:pStyle w:val="7"/>
        <w:keepNext w:val="0"/>
        <w:keepLines w:val="0"/>
        <w:widowControl/>
        <w:suppressLineNumbers w:val="0"/>
        <w:spacing w:before="0" w:beforeAutospacing="1" w:afterAutospacing="1"/>
        <w:ind w:left="0" w:right="0"/>
      </w:pPr>
      <w:r>
        <w:t>The non-negotiable documents: a Shariah compliance policy and per-cause eligibility rulings; a beneficiary KYC/verification SOP; an NGO due-diligence and onboarding checklist; a fund-flow and reconciliation policy proving you don't hold funds; a grievance-redressal mechanism with a named officer; and annual audited financials plus donation reporting (the successors to Forms 10BD/10BE for issuing donor certificates).</w:t>
      </w:r>
    </w:p>
    <w:p w14:paraId="0E2DF4CE">
      <w:pPr>
        <w:pStyle w:val="7"/>
        <w:keepNext w:val="0"/>
        <w:keepLines w:val="0"/>
        <w:widowControl/>
        <w:suppressLineNumbers w:val="0"/>
        <w:spacing w:before="0" w:beforeAutospacing="1" w:afterAutospacing="1"/>
        <w:ind w:left="0" w:right="0"/>
      </w:pPr>
      <w:r>
        <w:t xml:space="preserve">On </w:t>
      </w:r>
      <w:r>
        <w:rPr>
          <w:rStyle w:val="8"/>
        </w:rPr>
        <w:t>data security</w:t>
      </w:r>
      <w:r>
        <w:t xml:space="preserve"> — this is easy to underrate and is legally serious. You'll be handling religious affiliation and financial-hardship data, which is sensitive personal data under India's Digital Personal Data Protection Act. Design for consent, data minimization, encryption, access controls, and retention limits from day one. A leaked list of "poor Muslim families and their bank details" is both a compliance disaster and a real safety risk to vulnerable people, so treat privacy as a core feature, not a checkbox.</w:t>
      </w:r>
    </w:p>
    <w:p w14:paraId="756295D0">
      <w:pPr>
        <w:pStyle w:val="7"/>
        <w:keepNext w:val="0"/>
        <w:keepLines w:val="0"/>
        <w:widowControl/>
        <w:suppressLineNumbers w:val="0"/>
        <w:spacing w:before="0" w:beforeAutospacing="1" w:afterAutospacing="1"/>
        <w:ind w:left="0" w:right="0"/>
      </w:pPr>
      <w:r>
        <w:t>Two closing cautions. First, I'm not a lawyer, CA, or Shariah authority, and the Indian rules here are both intricate and in active flux — the IT Act changed in April 2026 and FCRA amendments are moving through as recently as June 2026 — so treat everything above as a map for informed conversations with those three professionals, not as a substitute for them. Second, resist the temptation to become a custodian "just to start"; the connector model is not a lesser version of the vision, it's the more trustworthy and more legal one.</w:t>
      </w:r>
    </w:p>
    <w:p w14:paraId="481C0C0D">
      <w:pPr>
        <w:pStyle w:val="7"/>
        <w:keepNext w:val="0"/>
        <w:keepLines w:val="0"/>
        <w:widowControl/>
        <w:suppressLineNumbers w:val="0"/>
        <w:spacing w:before="0" w:beforeAutospacing="1" w:afterAutospacing="1"/>
        <w:ind w:left="0" w:right="0"/>
      </w:pPr>
      <w:r>
        <w:t>If it would help, I can turn any one of these into a working document — a beneficiary-verification SOP, an NGO due-diligence checklist, or a one-page entity-structure comparison you could take to your CA.</w:t>
      </w:r>
    </w:p>
    <w:p w14:paraId="3D8DAA6D">
      <w:pPr>
        <w:pStyle w:val="7"/>
        <w:keepNext w:val="0"/>
        <w:keepLines w:val="0"/>
        <w:widowControl/>
        <w:suppressLineNumbers w:val="0"/>
        <w:spacing w:before="0" w:beforeAutospacing="1" w:afterAutospacing="1"/>
        <w:ind w:left="0" w:right="0"/>
      </w:pPr>
      <w:r>
        <w:rPr>
          <w:rFonts w:hint="default"/>
          <w:lang w:val="en-IN"/>
        </w:rPr>
        <w:t>Refer</w:t>
      </w:r>
      <w:r>
        <w:t xml:space="preserve"> the beneficiary intake and needs-assessment form — built as a fillable, print-ready document the NGO/trust can validate against.</w:t>
      </w:r>
    </w:p>
    <w:p w14:paraId="7D8CC18B">
      <w:pPr>
        <w:pStyle w:val="7"/>
        <w:keepNext w:val="0"/>
        <w:keepLines w:val="0"/>
        <w:widowControl/>
        <w:suppressLineNumbers w:val="0"/>
        <w:spacing w:before="0" w:beforeAutospacing="1" w:afterAutospacing="1"/>
        <w:ind w:left="0" w:right="0"/>
      </w:pPr>
      <w:r>
        <w:t>It's organized into nine sections that move from identity to need to validation. The design choices that make the data "worthwhile and mappable" are deliberate:</w:t>
      </w:r>
    </w:p>
    <w:p w14:paraId="49231EC8">
      <w:pPr>
        <w:pStyle w:val="7"/>
        <w:keepNext w:val="0"/>
        <w:keepLines w:val="0"/>
        <w:widowControl/>
        <w:suppressLineNumbers w:val="0"/>
        <w:spacing w:before="0" w:beforeAutospacing="1" w:afterAutospacing="1"/>
        <w:ind w:left="0" w:right="0"/>
      </w:pPr>
      <w:r>
        <w:t xml:space="preserve">The </w:t>
      </w:r>
      <w:r>
        <w:rPr>
          <w:rStyle w:val="8"/>
        </w:rPr>
        <w:t>need is captured as structured categories, not free text.</w:t>
      </w:r>
      <w:r>
        <w:t xml:space="preserve"> Section 4 forces a primary zakat category (the eight asnaf as checkboxes), and Section 5 tags the need-type (medical, education, debt, livelihood, food, housing, marriage, utility) with amount, one-time-vs-recurring, and urgency. That means every application can be sorted, compared, and prioritized rather than read as a story — which is exactly what lets a trust map needs across many beneficiaries.</w:t>
      </w:r>
    </w:p>
    <w:p w14:paraId="1613EA19">
      <w:pPr>
        <w:pStyle w:val="7"/>
        <w:keepNext w:val="0"/>
        <w:keepLines w:val="0"/>
        <w:widowControl/>
        <w:suppressLineNumbers w:val="0"/>
        <w:spacing w:before="0" w:beforeAutospacing="1" w:afterAutospacing="1"/>
        <w:ind w:left="0" w:right="0"/>
      </w:pPr>
      <w:r>
        <w:rPr>
          <w:rStyle w:val="8"/>
        </w:rPr>
        <w:t>Financial situation is collected in bands and flags</w:t>
      </w:r>
      <w:r>
        <w:t xml:space="preserve"> (Section 3): income ranges rather than exact figures (more dignified and easier to answer honestly), plus dependents, housing status, an assets/nisab question, debt, and vulnerability flags (widow, orphan, disability, chronic illness). Those flags feed eligibility and priority scoring.</w:t>
      </w:r>
    </w:p>
    <w:p w14:paraId="0D9A86BD">
      <w:pPr>
        <w:pStyle w:val="7"/>
        <w:keepNext w:val="0"/>
        <w:keepLines w:val="0"/>
        <w:widowControl/>
        <w:suppressLineNumbers w:val="0"/>
        <w:spacing w:before="0" w:beforeAutospacing="1" w:afterAutospacing="1"/>
        <w:ind w:left="0" w:right="0"/>
      </w:pPr>
      <w:r>
        <w:rPr>
          <w:rStyle w:val="8"/>
        </w:rPr>
        <w:t>Validation is built in.</w:t>
      </w:r>
      <w:r>
        <w:t xml:space="preserve"> Section 6 is a document checklist with attached/pending columns, and Section 9 is an "office use only" grid where the NGO records document verification, field-visit findings, confirmed asnaf category, Shariah sign-off, assessed vs recommended amount, decision, priority, and case ID — so the same sheet carries the request from intake through approval.</w:t>
      </w:r>
    </w:p>
    <w:p w14:paraId="64B65516">
      <w:pPr>
        <w:pStyle w:val="7"/>
        <w:keepNext w:val="0"/>
        <w:keepLines w:val="0"/>
        <w:widowControl/>
        <w:suppressLineNumbers w:val="0"/>
        <w:spacing w:before="0" w:beforeAutospacing="1" w:afterAutospacing="1"/>
        <w:ind w:left="0" w:right="0"/>
      </w:pPr>
      <w:r>
        <w:t>A couple of things to adapt before rolling it out: tune the income bands and the category-specific blocks to how your partner trusts actually assess need, and remember this form becomes sensitive personal data the moment it's filled — it should always travel with the signed DPDP consent (Section 8 references it), and the "office use" page should be treated as restricted.</w:t>
      </w:r>
    </w:p>
    <w:p w14:paraId="06C9D7C7">
      <w:pPr>
        <w:keepNext w:val="0"/>
        <w:keepLines w:val="0"/>
        <w:widowControl/>
        <w:suppressLineNumbers w:val="0"/>
        <w:jc w:val="left"/>
      </w:pPr>
    </w:p>
    <w:p w14:paraId="64BE9DC1">
      <w:pPr>
        <w:keepNext w:val="0"/>
        <w:keepLines w:val="0"/>
        <w:widowControl/>
        <w:suppressLineNumbers w:val="0"/>
        <w:jc w:val="left"/>
        <w:rPr>
          <w:rFonts w:hint="default"/>
          <w:lang w:val="en-IN"/>
        </w:rPr>
      </w:pPr>
      <w:r>
        <w:t>This is the capstone — I'll assemble all six deliverables into one indexed operations handbook with a cover, an auto-updating contents page, and new front-matter guidelines (operating model, governance, compliance) plus appendices (glossary, com</w:t>
      </w:r>
      <w:bookmarkStart w:id="0" w:name="_GoBack"/>
      <w:bookmarkEnd w:id="0"/>
      <w:r>
        <w:t>pliance reference, revision log) to make it self-contained.</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90D74E"/>
    <w:multiLevelType w:val="multilevel"/>
    <w:tmpl w:val="A290D74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356DD824"/>
    <w:multiLevelType w:val="multilevel"/>
    <w:tmpl w:val="356DD82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1D05D4E"/>
    <w:rsid w:val="21D05D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Emphasis"/>
    <w:basedOn w:val="3"/>
    <w:qFormat/>
    <w:uiPriority w:val="0"/>
    <w:rPr>
      <w:i/>
      <w:iCs/>
    </w:rPr>
  </w:style>
  <w:style w:type="character" w:styleId="6">
    <w:name w:val="Hyperlink"/>
    <w:basedOn w:val="3"/>
    <w:uiPriority w:val="0"/>
    <w:rPr>
      <w:color w:val="0000FF"/>
      <w:u w:val="single"/>
    </w:rPr>
  </w:style>
  <w:style w:type="paragraph" w:styleId="7">
    <w:name w:val="Normal (Web)"/>
    <w:basedOn w:val="1"/>
    <w:uiPriority w:val="0"/>
    <w:rPr>
      <w:sz w:val="24"/>
      <w:szCs w:val="24"/>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5</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2026-07-15T21:12:00Z</dcterms:created>
  <dc:creator>WPS_1698071428</dc:creator>
  <cp:lastModifiedBy>WPS_1698071428</cp:lastModifiedBy>
  <dcterms:modified xsi:type="dcterms:W3CDTF">2026-07-15T21:18:56Z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2AF3AF8E410445539BB7174D9D2BDD51_11</vt:lpwstr>
  </property>
  <property fmtid="{D5CDD505-2E9C-101B-9397-08002B2CF9AE}" pid="4" name="KSOTemplateDocerSaveRecord">
    <vt:lpwstr>eyJoZGlkIjoiOGIxY2NmZTYwMDRhNjViNTNhZTVkY2ExNjYwZGFiMTIiLCJ1c2VySWQiOiI1Njc0MTYxMzMxOTcifQ==</vt:lpwstr>
  </property>
</Properties>
</file>