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F3A5F"/>
          <w:sz w:val="32"/>
          <w:szCs w:val="32"/>
        </w:rPr>
        <w:t xml:space="preserve">MEMORANDUM OF UNDERSTANDING</w:t>
      </w:r>
    </w:p>
    <w:p>
      <w:pPr>
        <w:pBdr>
          <w:bottom w:val="single" w:color="C9D3DC" w:sz="6"/>
        </w:pBdr>
        <w:spacing w:after="60"/>
      </w:pPr>
      <w:r>
        <w:rPr>
          <w:rFonts w:ascii="Calibri" w:cs="Calibri" w:eastAsia="Calibri" w:hAnsi="Calibri"/>
          <w:i/>
          <w:iCs/>
          <w:color w:val="5B6670"/>
          <w:sz w:val="19"/>
          <w:szCs w:val="19"/>
        </w:rPr>
        <w:t xml:space="preserve">Partner NGO / Trust onboarding — platform participation agreement</w:t>
      </w:r>
    </w:p>
    <w:tbl>
      <w:tblPr>
        <w:tblW w:type="dxa" w:w="9746"/>
        <w:tblBorders>
          <w:top w:val="single" w:color="C9D3DC" w:sz="4"/>
          <w:left w:val="single" w:color="2E6B4F" w:sz="18"/>
          <w:bottom w:val="single" w:color="C9D3DC" w:sz="4"/>
          <w:right w:val="single" w:color="C9D3DC" w:sz="4"/>
          <w:insideH w:val="none"/>
          <w:insideV w:val="none"/>
        </w:tblBorders>
      </w:tblPr>
      <w:tblGrid>
        <w:gridCol w:w="9746"/>
      </w:tblGrid>
      <w:tr>
        <w:tc>
          <w:tcPr>
            <w:tcW w:type="dxa" w:w="9746"/>
            <w:shd w:fill="EEF2F6" w:color="auto" w:val="clear"/>
            <w:tcMar>
              <w:top w:type="dxa" w:w="120"/>
              <w:left w:type="dxa" w:w="160"/>
              <w:bottom w:type="dxa" w:w="120"/>
              <w:right w:type="dxa" w:w="160"/>
            </w:tcMar>
          </w:tcPr>
          <w:p>
            <w:pPr>
              <w:spacing w:after="60"/>
            </w:pPr>
            <w:r>
              <w:rPr>
                <w:rFonts w:ascii="Calibri" w:cs="Calibri" w:eastAsia="Calibri" w:hAnsi="Calibri"/>
                <w:b/>
                <w:bCs/>
                <w:color w:val="1F3A5F"/>
                <w:sz w:val="20"/>
                <w:szCs w:val="20"/>
              </w:rPr>
              <w:t xml:space="preserve">How to use this template</w:t>
            </w:r>
          </w:p>
          <w:p>
            <w:pPr>
              <w:spacing w:after="40" w:line="258"/>
            </w:pPr>
            <w:r>
              <w:rPr>
                <w:rFonts w:ascii="Calibri" w:cs="Calibri" w:eastAsia="Calibri" w:hAnsi="Calibri"/>
                <w:color w:val="333333"/>
                <w:sz w:val="19"/>
                <w:szCs w:val="19"/>
              </w:rPr>
              <w:t xml:space="preserve">This is a working draft to structure your lawyer's drafting — it is not legal advice, and it should be reviewed and adapted before signing.</w:t>
            </w:r>
          </w:p>
          <w:p>
            <w:pPr>
              <w:spacing w:after="40" w:line="258"/>
            </w:pPr>
            <w:r>
              <w:rPr>
                <w:rFonts w:ascii="Calibri" w:cs="Calibri" w:eastAsia="Calibri" w:hAnsi="Calibri"/>
                <w:color w:val="333333"/>
                <w:sz w:val="19"/>
                <w:szCs w:val="19"/>
              </w:rPr>
              <w:t xml:space="preserve">Complete every [bracketed] placeholder. Confirm with counsel whether you want this to be a binding agreement (as drafted) or a non-binding MoU, and align the dispute-resolution and stamp-duty provisions to your state.</w:t>
            </w:r>
          </w:p>
          <w:p>
            <w:pPr>
              <w:spacing w:after="40" w:line="258"/>
            </w:pPr>
            <w:r>
              <w:rPr>
                <w:rFonts w:ascii="Calibri" w:cs="Calibri" w:eastAsia="Calibri" w:hAnsi="Calibri"/>
                <w:color w:val="333333"/>
                <w:sz w:val="19"/>
                <w:szCs w:val="19"/>
              </w:rPr>
              <w:t xml:space="preserve">Registration names (income-tax exemption / donor-deduction) reflect the Income Tax Act, 2025 regime; verify current section references.</w:t>
            </w:r>
          </w:p>
        </w:tc>
      </w:tr>
    </w:tbl>
    <w:p>
      <w:pPr>
        <w:spacing w:after="60"/>
      </w:pPr>
    </w:p>
    <w:p>
      <w:pPr>
        <w:spacing w:after="110" w:line="252"/>
      </w:pPr>
      <w:r>
        <w:rPr>
          <w:rFonts w:ascii="Calibri" w:cs="Calibri" w:eastAsia="Calibri" w:hAnsi="Calibri"/>
          <w:b/>
          <w:bCs/>
          <w:color w:val="222222"/>
          <w:sz w:val="20"/>
          <w:szCs w:val="20"/>
        </w:rPr>
        <w:t xml:space="preserve">This Memorandum of Understanding</w:t>
      </w:r>
      <w:r>
        <w:rPr>
          <w:rFonts w:ascii="Calibri" w:cs="Calibri" w:eastAsia="Calibri" w:hAnsi="Calibri"/>
          <w:color w:val="222222"/>
          <w:sz w:val="20"/>
          <w:szCs w:val="20"/>
        </w:rPr>
        <w:t xml:space="preserve"> (this “MoU”) is made on [</w:t>
      </w:r>
      <w:r>
        <w:rPr>
          <w:rFonts w:ascii="Calibri" w:cs="Calibri" w:eastAsia="Calibri" w:hAnsi="Calibri"/>
          <w:color w:val="222222"/>
          <w:sz w:val="20"/>
          <w:szCs w:val="20"/>
        </w:rPr>
        <w:t xml:space="preserve">date</w:t>
      </w:r>
      <w:r>
        <w:rPr>
          <w:rFonts w:ascii="Calibri" w:cs="Calibri" w:eastAsia="Calibri" w:hAnsi="Calibri"/>
          <w:color w:val="222222"/>
          <w:sz w:val="20"/>
          <w:szCs w:val="20"/>
        </w:rPr>
        <w:t xml:space="preserve">] at [</w:t>
      </w:r>
      <w:r>
        <w:rPr>
          <w:rFonts w:ascii="Calibri" w:cs="Calibri" w:eastAsia="Calibri" w:hAnsi="Calibri"/>
          <w:color w:val="222222"/>
          <w:sz w:val="20"/>
          <w:szCs w:val="20"/>
        </w:rPr>
        <w:t xml:space="preserve">place</w:t>
      </w:r>
      <w:r>
        <w:rPr>
          <w:rFonts w:ascii="Calibri" w:cs="Calibri" w:eastAsia="Calibri" w:hAnsi="Calibri"/>
          <w:color w:val="222222"/>
          <w:sz w:val="20"/>
          <w:szCs w:val="20"/>
        </w:rPr>
        <w:t xml:space="preserve">], between:</w:t>
      </w:r>
    </w:p>
    <w:p>
      <w:pPr>
        <w:tabs>
          <w:tab w:val="left" w:pos="560"/>
        </w:tabs>
        <w:spacing w:after="90" w:line="252"/>
        <w:ind w:left="560" w:hanging="560"/>
      </w:pPr>
      <w:r>
        <w:rPr>
          <w:rFonts w:ascii="Calibri" w:cs="Calibri" w:eastAsia="Calibri" w:hAnsi="Calibri"/>
          <w:b/>
          <w:bCs/>
          <w:color w:val="1F3A5F"/>
          <w:sz w:val="20"/>
          <w:szCs w:val="20"/>
        </w:rPr>
        <w:t xml:space="preserve">(1)</w:t>
      </w:r>
      <w:r>
        <w:tab/>
      </w:r>
      <w:r>
        <w:rPr>
          <w:rFonts w:ascii="Calibri" w:cs="Calibri" w:eastAsia="Calibri" w:hAnsi="Calibri"/>
          <w:b/>
          <w:bCs/>
          <w:color w:val="222222"/>
          <w:sz w:val="20"/>
          <w:szCs w:val="20"/>
        </w:rPr>
        <w:t xml:space="preserve">[Platform legal name]</w:t>
      </w:r>
      <w:r>
        <w:rPr>
          <w:rFonts w:ascii="Calibri" w:cs="Calibri" w:eastAsia="Calibri" w:hAnsi="Calibri"/>
          <w:color w:val="222222"/>
          <w:sz w:val="20"/>
          <w:szCs w:val="20"/>
        </w:rPr>
        <w:t xml:space="preserve">, a [Section 8 company / public charitable trust] registered under [</w:t>
      </w:r>
      <w:r>
        <w:rPr>
          <w:rFonts w:ascii="Calibri" w:cs="Calibri" w:eastAsia="Calibri" w:hAnsi="Calibri"/>
          <w:color w:val="222222"/>
          <w:sz w:val="20"/>
          <w:szCs w:val="20"/>
        </w:rPr>
        <w:t xml:space="preserve">statute</w:t>
      </w:r>
      <w:r>
        <w:rPr>
          <w:rFonts w:ascii="Calibri" w:cs="Calibri" w:eastAsia="Calibri" w:hAnsi="Calibri"/>
          <w:color w:val="222222"/>
          <w:sz w:val="20"/>
          <w:szCs w:val="20"/>
        </w:rPr>
        <w:t xml:space="preserve">], having its registered office at [</w:t>
      </w:r>
      <w:r>
        <w:rPr>
          <w:rFonts w:ascii="Calibri" w:cs="Calibri" w:eastAsia="Calibri" w:hAnsi="Calibri"/>
          <w:color w:val="222222"/>
          <w:sz w:val="20"/>
          <w:szCs w:val="20"/>
        </w:rPr>
        <w:t xml:space="preserve">address</w:t>
      </w:r>
      <w:r>
        <w:rPr>
          <w:rFonts w:ascii="Calibri" w:cs="Calibri" w:eastAsia="Calibri" w:hAnsi="Calibri"/>
          <w:color w:val="222222"/>
          <w:sz w:val="20"/>
          <w:szCs w:val="20"/>
        </w:rPr>
        <w:t xml:space="preserve">] (the “Platform”); and</w:t>
      </w:r>
    </w:p>
    <w:p>
      <w:pPr>
        <w:tabs>
          <w:tab w:val="left" w:pos="560"/>
        </w:tabs>
        <w:spacing w:after="90" w:line="252"/>
        <w:ind w:left="560" w:hanging="560"/>
      </w:pPr>
      <w:r>
        <w:rPr>
          <w:rFonts w:ascii="Calibri" w:cs="Calibri" w:eastAsia="Calibri" w:hAnsi="Calibri"/>
          <w:b/>
          <w:bCs/>
          <w:color w:val="1F3A5F"/>
          <w:sz w:val="20"/>
          <w:szCs w:val="20"/>
        </w:rPr>
        <w:t xml:space="preserve">(2)</w:t>
      </w:r>
      <w:r>
        <w:tab/>
      </w:r>
      <w:r>
        <w:rPr>
          <w:rFonts w:ascii="Calibri" w:cs="Calibri" w:eastAsia="Calibri" w:hAnsi="Calibri"/>
          <w:b/>
          <w:bCs/>
          <w:color w:val="222222"/>
          <w:sz w:val="20"/>
          <w:szCs w:val="20"/>
        </w:rPr>
        <w:t xml:space="preserve">[Partner NGO legal name]</w:t>
      </w:r>
      <w:r>
        <w:rPr>
          <w:rFonts w:ascii="Calibri" w:cs="Calibri" w:eastAsia="Calibri" w:hAnsi="Calibri"/>
          <w:color w:val="222222"/>
          <w:sz w:val="20"/>
          <w:szCs w:val="20"/>
        </w:rPr>
        <w:t xml:space="preserve">, a [trust / society / Section 8 company] registered under [</w:t>
      </w:r>
      <w:r>
        <w:rPr>
          <w:rFonts w:ascii="Calibri" w:cs="Calibri" w:eastAsia="Calibri" w:hAnsi="Calibri"/>
          <w:color w:val="222222"/>
          <w:sz w:val="20"/>
          <w:szCs w:val="20"/>
        </w:rPr>
        <w:t xml:space="preserve">statute</w:t>
      </w:r>
      <w:r>
        <w:rPr>
          <w:rFonts w:ascii="Calibri" w:cs="Calibri" w:eastAsia="Calibri" w:hAnsi="Calibri"/>
          <w:color w:val="222222"/>
          <w:sz w:val="20"/>
          <w:szCs w:val="20"/>
        </w:rPr>
        <w:t xml:space="preserve">], having its registered office at [</w:t>
      </w:r>
      <w:r>
        <w:rPr>
          <w:rFonts w:ascii="Calibri" w:cs="Calibri" w:eastAsia="Calibri" w:hAnsi="Calibri"/>
          <w:color w:val="222222"/>
          <w:sz w:val="20"/>
          <w:szCs w:val="20"/>
        </w:rPr>
        <w:t xml:space="preserve">address</w:t>
      </w:r>
      <w:r>
        <w:rPr>
          <w:rFonts w:ascii="Calibri" w:cs="Calibri" w:eastAsia="Calibri" w:hAnsi="Calibri"/>
          <w:color w:val="222222"/>
          <w:sz w:val="20"/>
          <w:szCs w:val="20"/>
        </w:rPr>
        <w:t xml:space="preserve">] (the “Partner”).</w:t>
      </w:r>
    </w:p>
    <w:p>
      <w:pPr>
        <w:spacing w:after="110" w:line="252"/>
      </w:pPr>
      <w:r>
        <w:rPr>
          <w:rFonts w:ascii="Calibri" w:cs="Calibri" w:eastAsia="Calibri" w:hAnsi="Calibri"/>
          <w:color w:val="222222"/>
          <w:sz w:val="20"/>
          <w:szCs w:val="20"/>
        </w:rPr>
        <w:t xml:space="preserve">The Platform and the Partner are each a “</w:t>
      </w:r>
      <w:r>
        <w:rPr>
          <w:rFonts w:ascii="Calibri" w:cs="Calibri" w:eastAsia="Calibri" w:hAnsi="Calibri"/>
          <w:b/>
          <w:bCs/>
          <w:color w:val="222222"/>
          <w:sz w:val="20"/>
          <w:szCs w:val="20"/>
        </w:rPr>
        <w:t xml:space="preserve">Party</w:t>
      </w:r>
      <w:r>
        <w:rPr>
          <w:rFonts w:ascii="Calibri" w:cs="Calibri" w:eastAsia="Calibri" w:hAnsi="Calibri"/>
          <w:color w:val="222222"/>
          <w:sz w:val="20"/>
          <w:szCs w:val="20"/>
        </w:rPr>
        <w:t xml:space="preserve">” and together the “</w:t>
      </w:r>
      <w:r>
        <w:rPr>
          <w:rFonts w:ascii="Calibri" w:cs="Calibri" w:eastAsia="Calibri" w:hAnsi="Calibri"/>
          <w:b/>
          <w:bCs/>
          <w:color w:val="222222"/>
          <w:sz w:val="20"/>
          <w:szCs w:val="20"/>
        </w:rPr>
        <w:t xml:space="preserve">Parties</w:t>
      </w:r>
      <w:r>
        <w:rPr>
          <w:rFonts w:ascii="Calibri" w:cs="Calibri" w:eastAsia="Calibri" w:hAnsi="Calibri"/>
          <w:color w:val="222222"/>
          <w:sz w:val="20"/>
          <w:szCs w:val="20"/>
        </w:rPr>
        <w:t xml:space="preserve">”.</w:t>
      </w:r>
    </w:p>
    <w:p>
      <w:pPr>
        <w:spacing w:after="80" w:before="200"/>
      </w:pPr>
      <w:r>
        <w:rPr>
          <w:rFonts w:ascii="Calibri" w:cs="Calibri" w:eastAsia="Calibri" w:hAnsi="Calibri"/>
          <w:b/>
          <w:bCs/>
          <w:color w:val="2E6B4F"/>
          <w:sz w:val="22"/>
          <w:szCs w:val="22"/>
        </w:rPr>
        <w:t xml:space="preserve">Background</w:t>
      </w:r>
    </w:p>
    <w:p>
      <w:pPr>
        <w:tabs>
          <w:tab w:val="left" w:pos="560"/>
        </w:tabs>
        <w:spacing w:after="90" w:line="252"/>
        <w:ind w:left="560" w:hanging="560"/>
      </w:pPr>
      <w:r>
        <w:rPr>
          <w:rFonts w:ascii="Calibri" w:cs="Calibri" w:eastAsia="Calibri" w:hAnsi="Calibri"/>
          <w:b/>
          <w:bCs/>
          <w:color w:val="1F3A5F"/>
          <w:sz w:val="20"/>
          <w:szCs w:val="20"/>
        </w:rPr>
        <w:t xml:space="preserve">A.</w:t>
      </w:r>
      <w:r>
        <w:tab/>
      </w:r>
      <w:r>
        <w:rPr>
          <w:rFonts w:ascii="Calibri" w:cs="Calibri" w:eastAsia="Calibri" w:hAnsi="Calibri"/>
          <w:color w:val="222222"/>
          <w:sz w:val="20"/>
          <w:szCs w:val="20"/>
        </w:rPr>
        <w:t xml:space="preserve">The Platform operates a technology platform that connects zakat and charitable donors with verified, Shariah-eligible causes and facilitates disbursement of funds directly to beneficiaries or partner organisations through a licensed payment gateway, without itself holding donor funds.</w:t>
      </w:r>
    </w:p>
    <w:p>
      <w:pPr>
        <w:tabs>
          <w:tab w:val="left" w:pos="560"/>
        </w:tabs>
        <w:spacing w:after="90" w:line="252"/>
        <w:ind w:left="560" w:hanging="560"/>
      </w:pPr>
      <w:r>
        <w:rPr>
          <w:rFonts w:ascii="Calibri" w:cs="Calibri" w:eastAsia="Calibri" w:hAnsi="Calibri"/>
          <w:b/>
          <w:bCs/>
          <w:color w:val="1F3A5F"/>
          <w:sz w:val="20"/>
          <w:szCs w:val="20"/>
        </w:rPr>
        <w:t xml:space="preserve">B.</w:t>
      </w:r>
      <w:r>
        <w:tab/>
      </w:r>
      <w:r>
        <w:rPr>
          <w:rFonts w:ascii="Calibri" w:cs="Calibri" w:eastAsia="Calibri" w:hAnsi="Calibri"/>
          <w:color w:val="222222"/>
          <w:sz w:val="20"/>
          <w:szCs w:val="20"/>
        </w:rPr>
        <w:t xml:space="preserve">The Partner is a charitable organisation engaged in [describe activities] and wishes to raise causes and receive funds through the Platform for the benefit of eligible beneficiaries.</w:t>
      </w:r>
    </w:p>
    <w:p>
      <w:pPr>
        <w:tabs>
          <w:tab w:val="left" w:pos="560"/>
        </w:tabs>
        <w:spacing w:after="90" w:line="252"/>
        <w:ind w:left="560" w:hanging="560"/>
      </w:pPr>
      <w:r>
        <w:rPr>
          <w:rFonts w:ascii="Calibri" w:cs="Calibri" w:eastAsia="Calibri" w:hAnsi="Calibri"/>
          <w:b/>
          <w:bCs/>
          <w:color w:val="1F3A5F"/>
          <w:sz w:val="20"/>
          <w:szCs w:val="20"/>
        </w:rPr>
        <w:t xml:space="preserve">C.</w:t>
      </w:r>
      <w:r>
        <w:tab/>
      </w:r>
      <w:r>
        <w:rPr>
          <w:rFonts w:ascii="Calibri" w:cs="Calibri" w:eastAsia="Calibri" w:hAnsi="Calibri"/>
          <w:color w:val="222222"/>
          <w:sz w:val="20"/>
          <w:szCs w:val="20"/>
        </w:rPr>
        <w:t xml:space="preserve">The Parties wish to record the terms on which the Partner will participate on the Platform.</w:t>
      </w:r>
    </w:p>
    <w:p>
      <w:pPr>
        <w:spacing w:after="40" w:line="252"/>
      </w:pPr>
      <w:r>
        <w:rPr>
          <w:rFonts w:ascii="Calibri" w:cs="Calibri" w:eastAsia="Calibri" w:hAnsi="Calibri"/>
          <w:b/>
          <w:bCs/>
          <w:color w:val="222222"/>
          <w:sz w:val="20"/>
          <w:szCs w:val="20"/>
        </w:rPr>
        <w:t xml:space="preserve">It is agreed as follows:</w:t>
      </w:r>
    </w:p>
    <w:p>
      <w:pPr>
        <w:keepNext/>
        <w:spacing w:after="70" w:before="240"/>
      </w:pPr>
      <w:r>
        <w:rPr>
          <w:rFonts w:ascii="Calibri" w:cs="Calibri" w:eastAsia="Calibri" w:hAnsi="Calibri"/>
          <w:b/>
          <w:bCs/>
          <w:color w:val="1F3A5F"/>
          <w:sz w:val="23"/>
          <w:szCs w:val="23"/>
        </w:rPr>
        <w:t xml:space="preserve">1.  Definitions and interpretation</w:t>
      </w:r>
    </w:p>
    <w:p>
      <w:pPr>
        <w:tabs>
          <w:tab w:val="left" w:pos="560"/>
        </w:tabs>
        <w:spacing w:after="90" w:line="252"/>
        <w:ind w:left="560" w:hanging="560"/>
      </w:pPr>
      <w:r>
        <w:rPr>
          <w:rFonts w:ascii="Calibri" w:cs="Calibri" w:eastAsia="Calibri" w:hAnsi="Calibri"/>
          <w:b/>
          <w:bCs/>
          <w:color w:val="1F3A5F"/>
          <w:sz w:val="20"/>
          <w:szCs w:val="20"/>
        </w:rPr>
        <w:t xml:space="preserve">1.1</w:t>
      </w:r>
      <w:r>
        <w:tab/>
      </w:r>
      <w:r>
        <w:rPr>
          <w:rFonts w:ascii="Calibri" w:cs="Calibri" w:eastAsia="Calibri" w:hAnsi="Calibri"/>
          <w:color w:val="222222"/>
          <w:sz w:val="20"/>
          <w:szCs w:val="20"/>
        </w:rPr>
        <w:t xml:space="preserve">In this MoU: “Beneficiary” means an eligible zakat/charitable recipient; “Cause” means a fundraising listing on the Platform; “Donor” means a person contributing to a Cause; “Gateway” means the licensed payment aggregator/gateway through which funds are collected and settled; “Zakat Funds” means funds designated as zakat; “Shariah Board” means the Platform’s Shariah advisory body; “DPDP Act” means the Digital Personal Data Protection Act, 2023; “Personal Data” has the meaning given in the DPDP Act; and “Applicable Law” means all laws applicable to a Party.</w:t>
      </w:r>
    </w:p>
    <w:p>
      <w:pPr>
        <w:tabs>
          <w:tab w:val="left" w:pos="560"/>
        </w:tabs>
        <w:spacing w:after="90" w:line="252"/>
        <w:ind w:left="560" w:hanging="560"/>
      </w:pPr>
      <w:r>
        <w:rPr>
          <w:rFonts w:ascii="Calibri" w:cs="Calibri" w:eastAsia="Calibri" w:hAnsi="Calibri"/>
          <w:b/>
          <w:bCs/>
          <w:color w:val="1F3A5F"/>
          <w:sz w:val="20"/>
          <w:szCs w:val="20"/>
        </w:rPr>
        <w:t xml:space="preserve">1.2</w:t>
      </w:r>
      <w:r>
        <w:tab/>
      </w:r>
      <w:r>
        <w:rPr>
          <w:rFonts w:ascii="Calibri" w:cs="Calibri" w:eastAsia="Calibri" w:hAnsi="Calibri"/>
          <w:color w:val="222222"/>
          <w:sz w:val="20"/>
          <w:szCs w:val="20"/>
        </w:rPr>
        <w:t xml:space="preserve">Headings are for convenience only. References to a statute include amendments and re-enactments (including the Income Tax Act, 2025 and its successor provisions to sections 12A/12AB and 80G).</w:t>
      </w:r>
    </w:p>
    <w:p>
      <w:pPr>
        <w:keepNext/>
        <w:spacing w:after="70" w:before="240"/>
      </w:pPr>
      <w:r>
        <w:rPr>
          <w:rFonts w:ascii="Calibri" w:cs="Calibri" w:eastAsia="Calibri" w:hAnsi="Calibri"/>
          <w:b/>
          <w:bCs/>
          <w:color w:val="1F3A5F"/>
          <w:sz w:val="23"/>
          <w:szCs w:val="23"/>
        </w:rPr>
        <w:t xml:space="preserve">2.  Purpose and scope</w:t>
      </w:r>
    </w:p>
    <w:p>
      <w:pPr>
        <w:tabs>
          <w:tab w:val="left" w:pos="560"/>
        </w:tabs>
        <w:spacing w:after="90" w:line="252"/>
        <w:ind w:left="560" w:hanging="560"/>
      </w:pPr>
      <w:r>
        <w:rPr>
          <w:rFonts w:ascii="Calibri" w:cs="Calibri" w:eastAsia="Calibri" w:hAnsi="Calibri"/>
          <w:b/>
          <w:bCs/>
          <w:color w:val="1F3A5F"/>
          <w:sz w:val="20"/>
          <w:szCs w:val="20"/>
        </w:rPr>
        <w:t xml:space="preserve">2.1</w:t>
      </w:r>
      <w:r>
        <w:tab/>
      </w:r>
      <w:r>
        <w:rPr>
          <w:rFonts w:ascii="Calibri" w:cs="Calibri" w:eastAsia="Calibri" w:hAnsi="Calibri"/>
          <w:color w:val="222222"/>
          <w:sz w:val="20"/>
          <w:szCs w:val="20"/>
        </w:rPr>
        <w:t xml:space="preserve">The Partner may raise Causes on the Platform on behalf of eligible Beneficiaries and receive Donor funds for those Causes, subject to this MoU and the Platform’s published policies.</w:t>
      </w:r>
    </w:p>
    <w:p>
      <w:pPr>
        <w:tabs>
          <w:tab w:val="left" w:pos="560"/>
        </w:tabs>
        <w:spacing w:after="90" w:line="252"/>
        <w:ind w:left="560" w:hanging="560"/>
      </w:pPr>
      <w:r>
        <w:rPr>
          <w:rFonts w:ascii="Calibri" w:cs="Calibri" w:eastAsia="Calibri" w:hAnsi="Calibri"/>
          <w:b/>
          <w:bCs/>
          <w:color w:val="1F3A5F"/>
          <w:sz w:val="20"/>
          <w:szCs w:val="20"/>
        </w:rPr>
        <w:t xml:space="preserve">2.2</w:t>
      </w:r>
      <w:r>
        <w:tab/>
      </w:r>
      <w:r>
        <w:rPr>
          <w:rFonts w:ascii="Calibri" w:cs="Calibri" w:eastAsia="Calibri" w:hAnsi="Calibri"/>
          <w:color w:val="222222"/>
          <w:sz w:val="20"/>
          <w:szCs w:val="20"/>
        </w:rPr>
        <w:t xml:space="preserve">This MoU is non-exclusive. Neither Party is restricted from working with other organisations.</w:t>
      </w:r>
    </w:p>
    <w:p>
      <w:pPr>
        <w:tabs>
          <w:tab w:val="left" w:pos="560"/>
        </w:tabs>
        <w:spacing w:after="90" w:line="252"/>
        <w:ind w:left="560" w:hanging="560"/>
      </w:pPr>
      <w:r>
        <w:rPr>
          <w:rFonts w:ascii="Calibri" w:cs="Calibri" w:eastAsia="Calibri" w:hAnsi="Calibri"/>
          <w:b/>
          <w:bCs/>
          <w:color w:val="1F3A5F"/>
          <w:sz w:val="20"/>
          <w:szCs w:val="20"/>
        </w:rPr>
        <w:t xml:space="preserve">2.3</w:t>
      </w:r>
      <w:r>
        <w:tab/>
      </w:r>
      <w:r>
        <w:rPr>
          <w:rFonts w:ascii="Calibri" w:cs="Calibri" w:eastAsia="Calibri" w:hAnsi="Calibri"/>
          <w:color w:val="222222"/>
          <w:sz w:val="20"/>
          <w:szCs w:val="20"/>
        </w:rPr>
        <w:t xml:space="preserve">Nothing in this MoU creates a partnership, agency, joint venture or employment relationship. Each Party acts as an independent entity and cannot bind the other.</w:t>
      </w:r>
    </w:p>
    <w:p>
      <w:pPr>
        <w:keepNext/>
        <w:spacing w:after="70" w:before="240"/>
      </w:pPr>
      <w:r>
        <w:rPr>
          <w:rFonts w:ascii="Calibri" w:cs="Calibri" w:eastAsia="Calibri" w:hAnsi="Calibri"/>
          <w:b/>
          <w:bCs/>
          <w:color w:val="1F3A5F"/>
          <w:sz w:val="23"/>
          <w:szCs w:val="23"/>
        </w:rPr>
        <w:t xml:space="preserve">3.  The Platform’s responsibilities</w:t>
      </w:r>
    </w:p>
    <w:p>
      <w:pPr>
        <w:tabs>
          <w:tab w:val="left" w:pos="560"/>
        </w:tabs>
        <w:spacing w:after="90" w:line="252"/>
        <w:ind w:left="560" w:hanging="560"/>
      </w:pPr>
      <w:r>
        <w:rPr>
          <w:rFonts w:ascii="Calibri" w:cs="Calibri" w:eastAsia="Calibri" w:hAnsi="Calibri"/>
          <w:b/>
          <w:bCs/>
          <w:color w:val="1F3A5F"/>
          <w:sz w:val="20"/>
          <w:szCs w:val="20"/>
        </w:rPr>
        <w:t xml:space="preserve">3.1</w:t>
      </w:r>
      <w:r>
        <w:tab/>
      </w:r>
      <w:r>
        <w:rPr>
          <w:rFonts w:ascii="Calibri" w:cs="Calibri" w:eastAsia="Calibri" w:hAnsi="Calibri"/>
          <w:color w:val="222222"/>
          <w:sz w:val="20"/>
          <w:szCs w:val="20"/>
        </w:rPr>
        <w:t xml:space="preserve">Provide the Partner with access to the Platform, the verification workflow, and reporting tools.</w:t>
      </w:r>
    </w:p>
    <w:p>
      <w:pPr>
        <w:tabs>
          <w:tab w:val="left" w:pos="560"/>
        </w:tabs>
        <w:spacing w:after="90" w:line="252"/>
        <w:ind w:left="560" w:hanging="560"/>
      </w:pPr>
      <w:r>
        <w:rPr>
          <w:rFonts w:ascii="Calibri" w:cs="Calibri" w:eastAsia="Calibri" w:hAnsi="Calibri"/>
          <w:b/>
          <w:bCs/>
          <w:color w:val="1F3A5F"/>
          <w:sz w:val="20"/>
          <w:szCs w:val="20"/>
        </w:rPr>
        <w:t xml:space="preserve">3.2</w:t>
      </w:r>
      <w:r>
        <w:tab/>
      </w:r>
      <w:r>
        <w:rPr>
          <w:rFonts w:ascii="Calibri" w:cs="Calibri" w:eastAsia="Calibri" w:hAnsi="Calibri"/>
          <w:color w:val="222222"/>
          <w:sz w:val="20"/>
          <w:szCs w:val="20"/>
        </w:rPr>
        <w:t xml:space="preserve">Review and, where compliant with its legal and Shariah requirements, publish the Partner’s Causes.</w:t>
      </w:r>
    </w:p>
    <w:p>
      <w:pPr>
        <w:tabs>
          <w:tab w:val="left" w:pos="560"/>
        </w:tabs>
        <w:spacing w:after="90" w:line="252"/>
        <w:ind w:left="560" w:hanging="560"/>
      </w:pPr>
      <w:r>
        <w:rPr>
          <w:rFonts w:ascii="Calibri" w:cs="Calibri" w:eastAsia="Calibri" w:hAnsi="Calibri"/>
          <w:b/>
          <w:bCs/>
          <w:color w:val="1F3A5F"/>
          <w:sz w:val="20"/>
          <w:szCs w:val="20"/>
        </w:rPr>
        <w:t xml:space="preserve">3.3</w:t>
      </w:r>
      <w:r>
        <w:tab/>
      </w:r>
      <w:r>
        <w:rPr>
          <w:rFonts w:ascii="Calibri" w:cs="Calibri" w:eastAsia="Calibri" w:hAnsi="Calibri"/>
          <w:color w:val="222222"/>
          <w:sz w:val="20"/>
          <w:szCs w:val="20"/>
        </w:rPr>
        <w:t xml:space="preserve">Facilitate the routing of Donor funds to the designated account through the Gateway. For the avoidance of doubt, the Platform does not receive, hold or control Donor funds.</w:t>
      </w:r>
    </w:p>
    <w:p>
      <w:pPr>
        <w:tabs>
          <w:tab w:val="left" w:pos="560"/>
        </w:tabs>
        <w:spacing w:after="90" w:line="252"/>
        <w:ind w:left="560" w:hanging="560"/>
      </w:pPr>
      <w:r>
        <w:rPr>
          <w:rFonts w:ascii="Calibri" w:cs="Calibri" w:eastAsia="Calibri" w:hAnsi="Calibri"/>
          <w:b/>
          <w:bCs/>
          <w:color w:val="1F3A5F"/>
          <w:sz w:val="20"/>
          <w:szCs w:val="20"/>
        </w:rPr>
        <w:t xml:space="preserve">3.4</w:t>
      </w:r>
      <w:r>
        <w:tab/>
      </w:r>
      <w:r>
        <w:rPr>
          <w:rFonts w:ascii="Calibri" w:cs="Calibri" w:eastAsia="Calibri" w:hAnsi="Calibri"/>
          <w:color w:val="222222"/>
          <w:sz w:val="20"/>
          <w:szCs w:val="20"/>
        </w:rPr>
        <w:t xml:space="preserve">Maintain reasonable technical and organisational security measures for data it processes.</w:t>
      </w:r>
    </w:p>
    <w:p>
      <w:pPr>
        <w:keepNext/>
        <w:spacing w:after="70" w:before="240"/>
      </w:pPr>
      <w:r>
        <w:rPr>
          <w:rFonts w:ascii="Calibri" w:cs="Calibri" w:eastAsia="Calibri" w:hAnsi="Calibri"/>
          <w:b/>
          <w:bCs/>
          <w:color w:val="1F3A5F"/>
          <w:sz w:val="23"/>
          <w:szCs w:val="23"/>
        </w:rPr>
        <w:t xml:space="preserve">4.  The Partner’s responsibilities</w:t>
      </w:r>
    </w:p>
    <w:p>
      <w:pPr>
        <w:tabs>
          <w:tab w:val="left" w:pos="560"/>
        </w:tabs>
        <w:spacing w:after="90" w:line="252"/>
        <w:ind w:left="560" w:hanging="560"/>
      </w:pPr>
      <w:r>
        <w:rPr>
          <w:rFonts w:ascii="Calibri" w:cs="Calibri" w:eastAsia="Calibri" w:hAnsi="Calibri"/>
          <w:b/>
          <w:bCs/>
          <w:color w:val="1F3A5F"/>
          <w:sz w:val="20"/>
          <w:szCs w:val="20"/>
        </w:rPr>
        <w:t xml:space="preserve">4.1</w:t>
      </w:r>
      <w:r>
        <w:tab/>
      </w:r>
      <w:r>
        <w:rPr>
          <w:rFonts w:ascii="Calibri" w:cs="Calibri" w:eastAsia="Calibri" w:hAnsi="Calibri"/>
          <w:color w:val="222222"/>
          <w:sz w:val="20"/>
          <w:szCs w:val="20"/>
        </w:rPr>
        <w:t xml:space="preserve">Raise only genuine Causes for eligible Beneficiaries, and verify each Beneficiary in accordance with Schedule 1.</w:t>
      </w:r>
    </w:p>
    <w:p>
      <w:pPr>
        <w:tabs>
          <w:tab w:val="left" w:pos="560"/>
        </w:tabs>
        <w:spacing w:after="90" w:line="252"/>
        <w:ind w:left="560" w:hanging="560"/>
      </w:pPr>
      <w:r>
        <w:rPr>
          <w:rFonts w:ascii="Calibri" w:cs="Calibri" w:eastAsia="Calibri" w:hAnsi="Calibri"/>
          <w:b/>
          <w:bCs/>
          <w:color w:val="1F3A5F"/>
          <w:sz w:val="20"/>
          <w:szCs w:val="20"/>
        </w:rPr>
        <w:t xml:space="preserve">4.2</w:t>
      </w:r>
      <w:r>
        <w:tab/>
      </w:r>
      <w:r>
        <w:rPr>
          <w:rFonts w:ascii="Calibri" w:cs="Calibri" w:eastAsia="Calibri" w:hAnsi="Calibri"/>
          <w:color w:val="222222"/>
          <w:sz w:val="20"/>
          <w:szCs w:val="20"/>
        </w:rPr>
        <w:t xml:space="preserve">Obtain valid Beneficiary consent using the Platform’s approved consent form before submitting any Personal Data.</w:t>
      </w:r>
    </w:p>
    <w:p>
      <w:pPr>
        <w:tabs>
          <w:tab w:val="left" w:pos="560"/>
        </w:tabs>
        <w:spacing w:after="90" w:line="252"/>
        <w:ind w:left="560" w:hanging="560"/>
      </w:pPr>
      <w:r>
        <w:rPr>
          <w:rFonts w:ascii="Calibri" w:cs="Calibri" w:eastAsia="Calibri" w:hAnsi="Calibri"/>
          <w:b/>
          <w:bCs/>
          <w:color w:val="1F3A5F"/>
          <w:sz w:val="20"/>
          <w:szCs w:val="20"/>
        </w:rPr>
        <w:t xml:space="preserve">4.3</w:t>
      </w:r>
      <w:r>
        <w:tab/>
      </w:r>
      <w:r>
        <w:rPr>
          <w:rFonts w:ascii="Calibri" w:cs="Calibri" w:eastAsia="Calibri" w:hAnsi="Calibri"/>
          <w:color w:val="222222"/>
          <w:sz w:val="20"/>
          <w:szCs w:val="20"/>
        </w:rPr>
        <w:t xml:space="preserve">Ensure that funds received are used only for the stated Cause and the eligible Beneficiary, and provide proof of disbursement and use as required by Schedule 2.</w:t>
      </w:r>
    </w:p>
    <w:p>
      <w:pPr>
        <w:tabs>
          <w:tab w:val="left" w:pos="560"/>
        </w:tabs>
        <w:spacing w:after="90" w:line="252"/>
        <w:ind w:left="560" w:hanging="560"/>
      </w:pPr>
      <w:r>
        <w:rPr>
          <w:rFonts w:ascii="Calibri" w:cs="Calibri" w:eastAsia="Calibri" w:hAnsi="Calibri"/>
          <w:b/>
          <w:bCs/>
          <w:color w:val="1F3A5F"/>
          <w:sz w:val="20"/>
          <w:szCs w:val="20"/>
        </w:rPr>
        <w:t xml:space="preserve">4.4</w:t>
      </w:r>
      <w:r>
        <w:tab/>
      </w:r>
      <w:r>
        <w:rPr>
          <w:rFonts w:ascii="Calibri" w:cs="Calibri" w:eastAsia="Calibri" w:hAnsi="Calibri"/>
          <w:color w:val="222222"/>
          <w:sz w:val="20"/>
          <w:szCs w:val="20"/>
        </w:rPr>
        <w:t xml:space="preserve">Maintain all its registrations in good standing and comply with Applicable Law.</w:t>
      </w:r>
    </w:p>
    <w:p>
      <w:pPr>
        <w:tabs>
          <w:tab w:val="left" w:pos="560"/>
        </w:tabs>
        <w:spacing w:after="90" w:line="252"/>
        <w:ind w:left="560" w:hanging="560"/>
      </w:pPr>
      <w:r>
        <w:rPr>
          <w:rFonts w:ascii="Calibri" w:cs="Calibri" w:eastAsia="Calibri" w:hAnsi="Calibri"/>
          <w:b/>
          <w:bCs/>
          <w:color w:val="1F3A5F"/>
          <w:sz w:val="20"/>
          <w:szCs w:val="20"/>
        </w:rPr>
        <w:t xml:space="preserve">4.5</w:t>
      </w:r>
      <w:r>
        <w:tab/>
      </w:r>
      <w:r>
        <w:rPr>
          <w:rFonts w:ascii="Calibri" w:cs="Calibri" w:eastAsia="Calibri" w:hAnsi="Calibri"/>
          <w:color w:val="222222"/>
          <w:sz w:val="20"/>
          <w:szCs w:val="20"/>
        </w:rPr>
        <w:t xml:space="preserve">Not create false, duplicate, exaggerated or fabricated Causes, and cooperate fully with the Platform’s verification, Shariah review and audits.</w:t>
      </w:r>
    </w:p>
    <w:p>
      <w:pPr>
        <w:keepNext/>
        <w:spacing w:after="70" w:before="240"/>
      </w:pPr>
      <w:r>
        <w:rPr>
          <w:rFonts w:ascii="Calibri" w:cs="Calibri" w:eastAsia="Calibri" w:hAnsi="Calibri"/>
          <w:b/>
          <w:bCs/>
          <w:color w:val="1F3A5F"/>
          <w:sz w:val="23"/>
          <w:szCs w:val="23"/>
        </w:rPr>
        <w:t xml:space="preserve">5.  Fund flow, segregation and no commingling</w:t>
      </w:r>
    </w:p>
    <w:p>
      <w:pPr>
        <w:tabs>
          <w:tab w:val="left" w:pos="560"/>
        </w:tabs>
        <w:spacing w:after="90" w:line="252"/>
        <w:ind w:left="560" w:hanging="560"/>
      </w:pPr>
      <w:r>
        <w:rPr>
          <w:rFonts w:ascii="Calibri" w:cs="Calibri" w:eastAsia="Calibri" w:hAnsi="Calibri"/>
          <w:b/>
          <w:bCs/>
          <w:color w:val="1F3A5F"/>
          <w:sz w:val="20"/>
          <w:szCs w:val="20"/>
        </w:rPr>
        <w:t xml:space="preserve">5.1</w:t>
      </w:r>
      <w:r>
        <w:tab/>
      </w:r>
      <w:r>
        <w:rPr>
          <w:rFonts w:ascii="Calibri" w:cs="Calibri" w:eastAsia="Calibri" w:hAnsi="Calibri"/>
          <w:color w:val="222222"/>
          <w:sz w:val="20"/>
          <w:szCs w:val="20"/>
        </w:rPr>
        <w:t xml:space="preserve">Donor funds for a Cause shall settle directly to the Partner’s or the Beneficiary’s designated bank account through the Gateway. The Platform shall not be a conduit for, and shall not hold, such funds.</w:t>
      </w:r>
    </w:p>
    <w:p>
      <w:pPr>
        <w:tabs>
          <w:tab w:val="left" w:pos="560"/>
        </w:tabs>
        <w:spacing w:after="90" w:line="252"/>
        <w:ind w:left="560" w:hanging="560"/>
      </w:pPr>
      <w:r>
        <w:rPr>
          <w:rFonts w:ascii="Calibri" w:cs="Calibri" w:eastAsia="Calibri" w:hAnsi="Calibri"/>
          <w:b/>
          <w:bCs/>
          <w:color w:val="1F3A5F"/>
          <w:sz w:val="20"/>
          <w:szCs w:val="20"/>
        </w:rPr>
        <w:t xml:space="preserve">5.2</w:t>
      </w:r>
      <w:r>
        <w:tab/>
      </w:r>
      <w:r>
        <w:rPr>
          <w:rFonts w:ascii="Calibri" w:cs="Calibri" w:eastAsia="Calibri" w:hAnsi="Calibri"/>
          <w:color w:val="222222"/>
          <w:sz w:val="20"/>
          <w:szCs w:val="20"/>
        </w:rPr>
        <w:t xml:space="preserve">The Partner shall keep Zakat Funds segregated from its other funds and apply them only to Shariah-eligible Beneficiaries and purposes.</w:t>
      </w:r>
    </w:p>
    <w:p>
      <w:pPr>
        <w:tabs>
          <w:tab w:val="left" w:pos="560"/>
        </w:tabs>
        <w:spacing w:after="90" w:line="252"/>
        <w:ind w:left="560" w:hanging="560"/>
      </w:pPr>
      <w:r>
        <w:rPr>
          <w:rFonts w:ascii="Calibri" w:cs="Calibri" w:eastAsia="Calibri" w:hAnsi="Calibri"/>
          <w:b/>
          <w:bCs/>
          <w:color w:val="1F3A5F"/>
          <w:sz w:val="20"/>
          <w:szCs w:val="20"/>
        </w:rPr>
        <w:t xml:space="preserve">5.3</w:t>
      </w:r>
      <w:r>
        <w:tab/>
      </w:r>
      <w:r>
        <w:rPr>
          <w:rFonts w:ascii="Calibri" w:cs="Calibri" w:eastAsia="Calibri" w:hAnsi="Calibri"/>
          <w:color w:val="222222"/>
          <w:sz w:val="20"/>
          <w:szCs w:val="20"/>
        </w:rPr>
        <w:t xml:space="preserve">No fee, commission or administrative charge shall be deducted from Zakat Funds except as permitted by the Shariah Board and disclosed in advance. Neither Party shall skim or divert Zakat Funds, and funds shall not be commingled with unrelated accounts.</w:t>
      </w:r>
    </w:p>
    <w:p>
      <w:pPr>
        <w:tabs>
          <w:tab w:val="left" w:pos="560"/>
        </w:tabs>
        <w:spacing w:after="90" w:line="252"/>
        <w:ind w:left="560" w:hanging="560"/>
      </w:pPr>
      <w:r>
        <w:rPr>
          <w:rFonts w:ascii="Calibri" w:cs="Calibri" w:eastAsia="Calibri" w:hAnsi="Calibri"/>
          <w:b/>
          <w:bCs/>
          <w:color w:val="1F3A5F"/>
          <w:sz w:val="20"/>
          <w:szCs w:val="20"/>
        </w:rPr>
        <w:t xml:space="preserve">5.4</w:t>
      </w:r>
      <w:r>
        <w:tab/>
      </w:r>
      <w:r>
        <w:rPr>
          <w:rFonts w:ascii="Calibri" w:cs="Calibri" w:eastAsia="Calibri" w:hAnsi="Calibri"/>
          <w:color w:val="222222"/>
          <w:sz w:val="20"/>
          <w:szCs w:val="20"/>
        </w:rPr>
        <w:t xml:space="preserve">Gateway and transaction charges shall be as disclosed to Donors and Beneficiaries and borne as set out in Schedule 3.</w:t>
      </w:r>
    </w:p>
    <w:p>
      <w:pPr>
        <w:keepNext/>
        <w:spacing w:after="70" w:before="240"/>
      </w:pPr>
      <w:r>
        <w:rPr>
          <w:rFonts w:ascii="Calibri" w:cs="Calibri" w:eastAsia="Calibri" w:hAnsi="Calibri"/>
          <w:b/>
          <w:bCs/>
          <w:color w:val="1F3A5F"/>
          <w:sz w:val="23"/>
          <w:szCs w:val="23"/>
        </w:rPr>
        <w:t xml:space="preserve">6.  Verification and Shariah compliance</w:t>
      </w:r>
    </w:p>
    <w:p>
      <w:pPr>
        <w:tabs>
          <w:tab w:val="left" w:pos="560"/>
        </w:tabs>
        <w:spacing w:after="90" w:line="252"/>
        <w:ind w:left="560" w:hanging="560"/>
      </w:pPr>
      <w:r>
        <w:rPr>
          <w:rFonts w:ascii="Calibri" w:cs="Calibri" w:eastAsia="Calibri" w:hAnsi="Calibri"/>
          <w:b/>
          <w:bCs/>
          <w:color w:val="1F3A5F"/>
          <w:sz w:val="20"/>
          <w:szCs w:val="20"/>
        </w:rPr>
        <w:t xml:space="preserve">6.1</w:t>
      </w:r>
      <w:r>
        <w:tab/>
      </w:r>
      <w:r>
        <w:rPr>
          <w:rFonts w:ascii="Calibri" w:cs="Calibri" w:eastAsia="Calibri" w:hAnsi="Calibri"/>
          <w:color w:val="222222"/>
          <w:sz w:val="20"/>
          <w:szCs w:val="20"/>
        </w:rPr>
        <w:t xml:space="preserve">The Partner shall verify Beneficiary identity and zakat eligibility against the categories and tests in Schedule 1 and retain supporting records.</w:t>
      </w:r>
    </w:p>
    <w:p>
      <w:pPr>
        <w:tabs>
          <w:tab w:val="left" w:pos="560"/>
        </w:tabs>
        <w:spacing w:after="90" w:line="252"/>
        <w:ind w:left="560" w:hanging="560"/>
      </w:pPr>
      <w:r>
        <w:rPr>
          <w:rFonts w:ascii="Calibri" w:cs="Calibri" w:eastAsia="Calibri" w:hAnsi="Calibri"/>
          <w:b/>
          <w:bCs/>
          <w:color w:val="1F3A5F"/>
          <w:sz w:val="20"/>
          <w:szCs w:val="20"/>
        </w:rPr>
        <w:t xml:space="preserve">6.2</w:t>
      </w:r>
      <w:r>
        <w:tab/>
      </w:r>
      <w:r>
        <w:rPr>
          <w:rFonts w:ascii="Calibri" w:cs="Calibri" w:eastAsia="Calibri" w:hAnsi="Calibri"/>
          <w:color w:val="222222"/>
          <w:sz w:val="20"/>
          <w:szCs w:val="20"/>
        </w:rPr>
        <w:t xml:space="preserve">The Partner shall cooperate with the Shariah Board and comply with its rulings on eligibility and permissible use of Zakat Funds.</w:t>
      </w:r>
    </w:p>
    <w:p>
      <w:pPr>
        <w:keepNext/>
        <w:spacing w:after="70" w:before="240"/>
      </w:pPr>
      <w:r>
        <w:rPr>
          <w:rFonts w:ascii="Calibri" w:cs="Calibri" w:eastAsia="Calibri" w:hAnsi="Calibri"/>
          <w:b/>
          <w:bCs/>
          <w:color w:val="1F3A5F"/>
          <w:sz w:val="23"/>
          <w:szCs w:val="23"/>
        </w:rPr>
        <w:t xml:space="preserve">7.  Compliance with law</w:t>
      </w:r>
    </w:p>
    <w:p>
      <w:pPr>
        <w:tabs>
          <w:tab w:val="left" w:pos="560"/>
        </w:tabs>
        <w:spacing w:after="90" w:line="252"/>
        <w:ind w:left="560" w:hanging="560"/>
      </w:pPr>
      <w:r>
        <w:rPr>
          <w:rFonts w:ascii="Calibri" w:cs="Calibri" w:eastAsia="Calibri" w:hAnsi="Calibri"/>
          <w:b/>
          <w:bCs/>
          <w:color w:val="1F3A5F"/>
          <w:sz w:val="20"/>
          <w:szCs w:val="20"/>
        </w:rPr>
        <w:t xml:space="preserve">7.1</w:t>
      </w:r>
      <w:r>
        <w:tab/>
      </w:r>
      <w:r>
        <w:rPr>
          <w:rFonts w:ascii="Calibri" w:cs="Calibri" w:eastAsia="Calibri" w:hAnsi="Calibri"/>
          <w:color w:val="222222"/>
          <w:sz w:val="20"/>
          <w:szCs w:val="20"/>
        </w:rPr>
        <w:t xml:space="preserve">Each Party shall maintain its own registrations — including income-tax exemption (successor to section 12A/12AB), donor-deduction registration (successor to section 80G), NGO Darpan, and FCRA where applicable — and comply with Applicable Law.</w:t>
      </w:r>
    </w:p>
    <w:p>
      <w:pPr>
        <w:tabs>
          <w:tab w:val="left" w:pos="560"/>
        </w:tabs>
        <w:spacing w:after="90" w:line="252"/>
        <w:ind w:left="560" w:hanging="560"/>
      </w:pPr>
      <w:r>
        <w:rPr>
          <w:rFonts w:ascii="Calibri" w:cs="Calibri" w:eastAsia="Calibri" w:hAnsi="Calibri"/>
          <w:b/>
          <w:bCs/>
          <w:color w:val="1F3A5F"/>
          <w:sz w:val="20"/>
          <w:szCs w:val="20"/>
        </w:rPr>
        <w:t xml:space="preserve">7.2</w:t>
      </w:r>
      <w:r>
        <w:tab/>
      </w:r>
      <w:r>
        <w:rPr>
          <w:rFonts w:ascii="Calibri" w:cs="Calibri" w:eastAsia="Calibri" w:hAnsi="Calibri"/>
          <w:b/>
          <w:bCs/>
          <w:color w:val="222222"/>
          <w:sz w:val="20"/>
          <w:szCs w:val="20"/>
        </w:rPr>
        <w:t xml:space="preserve">Foreign contributions. </w:t>
      </w:r>
      <w:r>
        <w:rPr>
          <w:rFonts w:ascii="Calibri" w:cs="Calibri" w:eastAsia="Calibri" w:hAnsi="Calibri"/>
          <w:color w:val="222222"/>
          <w:sz w:val="20"/>
          <w:szCs w:val="20"/>
        </w:rPr>
        <w:t xml:space="preserve">The Partner shall receive and use any foreign contributions strictly in accordance with the FCRA, including the prohibition on sub-granting. The Platform shall not act as a conduit for foreign contributions, which must be received directly by the FCRA-registered Party.</w:t>
      </w:r>
    </w:p>
    <w:p>
      <w:pPr>
        <w:tabs>
          <w:tab w:val="left" w:pos="560"/>
        </w:tabs>
        <w:spacing w:after="90" w:line="252"/>
        <w:ind w:left="560" w:hanging="560"/>
      </w:pPr>
      <w:r>
        <w:rPr>
          <w:rFonts w:ascii="Calibri" w:cs="Calibri" w:eastAsia="Calibri" w:hAnsi="Calibri"/>
          <w:b/>
          <w:bCs/>
          <w:color w:val="1F3A5F"/>
          <w:sz w:val="20"/>
          <w:szCs w:val="20"/>
        </w:rPr>
        <w:t xml:space="preserve">7.3</w:t>
      </w:r>
      <w:r>
        <w:tab/>
      </w:r>
      <w:r>
        <w:rPr>
          <w:rFonts w:ascii="Calibri" w:cs="Calibri" w:eastAsia="Calibri" w:hAnsi="Calibri"/>
          <w:color w:val="222222"/>
          <w:sz w:val="20"/>
          <w:szCs w:val="20"/>
        </w:rPr>
        <w:t xml:space="preserve">Each Party represents that neither it nor its key functionaries appears on any applicable sanctions list, and the Partner shall screen Beneficiaries as required.</w:t>
      </w:r>
    </w:p>
    <w:p>
      <w:pPr>
        <w:keepNext/>
        <w:spacing w:after="70" w:before="240"/>
      </w:pPr>
      <w:r>
        <w:rPr>
          <w:rFonts w:ascii="Calibri" w:cs="Calibri" w:eastAsia="Calibri" w:hAnsi="Calibri"/>
          <w:b/>
          <w:bCs/>
          <w:color w:val="1F3A5F"/>
          <w:sz w:val="23"/>
          <w:szCs w:val="23"/>
        </w:rPr>
        <w:t xml:space="preserve">8.  Data protection and confidentiality</w:t>
      </w:r>
    </w:p>
    <w:p>
      <w:pPr>
        <w:tabs>
          <w:tab w:val="left" w:pos="560"/>
        </w:tabs>
        <w:spacing w:after="90" w:line="252"/>
        <w:ind w:left="560" w:hanging="560"/>
      </w:pPr>
      <w:r>
        <w:rPr>
          <w:rFonts w:ascii="Calibri" w:cs="Calibri" w:eastAsia="Calibri" w:hAnsi="Calibri"/>
          <w:b/>
          <w:bCs/>
          <w:color w:val="1F3A5F"/>
          <w:sz w:val="20"/>
          <w:szCs w:val="20"/>
        </w:rPr>
        <w:t xml:space="preserve">8.1</w:t>
      </w:r>
      <w:r>
        <w:tab/>
      </w:r>
      <w:r>
        <w:rPr>
          <w:rFonts w:ascii="Calibri" w:cs="Calibri" w:eastAsia="Calibri" w:hAnsi="Calibri"/>
          <w:color w:val="222222"/>
          <w:sz w:val="20"/>
          <w:szCs w:val="20"/>
        </w:rPr>
        <w:t xml:space="preserve">Each Party shall comply with the DPDP Act. Personal Data shared under this MoU shall be used only for the purposes of this MoU, kept secure and minimised, and deleted or returned on termination unless retention is required by law.</w:t>
      </w:r>
    </w:p>
    <w:p>
      <w:pPr>
        <w:tabs>
          <w:tab w:val="left" w:pos="560"/>
        </w:tabs>
        <w:spacing w:after="90" w:line="252"/>
        <w:ind w:left="560" w:hanging="560"/>
      </w:pPr>
      <w:r>
        <w:rPr>
          <w:rFonts w:ascii="Calibri" w:cs="Calibri" w:eastAsia="Calibri" w:hAnsi="Calibri"/>
          <w:b/>
          <w:bCs/>
          <w:color w:val="1F3A5F"/>
          <w:sz w:val="20"/>
          <w:szCs w:val="20"/>
        </w:rPr>
        <w:t xml:space="preserve">8.2</w:t>
      </w:r>
      <w:r>
        <w:tab/>
      </w:r>
      <w:r>
        <w:rPr>
          <w:rFonts w:ascii="Calibri" w:cs="Calibri" w:eastAsia="Calibri" w:hAnsi="Calibri"/>
          <w:color w:val="222222"/>
          <w:sz w:val="20"/>
          <w:szCs w:val="20"/>
        </w:rPr>
        <w:t xml:space="preserve">Each Party shall keep the other’s confidential information confidential, save where it is public, independently known, or required to be disclosed by law or regulator.</w:t>
      </w:r>
    </w:p>
    <w:p>
      <w:pPr>
        <w:tabs>
          <w:tab w:val="left" w:pos="560"/>
        </w:tabs>
        <w:spacing w:after="90" w:line="252"/>
        <w:ind w:left="560" w:hanging="560"/>
      </w:pPr>
      <w:r>
        <w:rPr>
          <w:rFonts w:ascii="Calibri" w:cs="Calibri" w:eastAsia="Calibri" w:hAnsi="Calibri"/>
          <w:b/>
          <w:bCs/>
          <w:color w:val="1F3A5F"/>
          <w:sz w:val="20"/>
          <w:szCs w:val="20"/>
        </w:rPr>
        <w:t xml:space="preserve">8.3</w:t>
      </w:r>
      <w:r>
        <w:tab/>
      </w:r>
      <w:r>
        <w:rPr>
          <w:rFonts w:ascii="Calibri" w:cs="Calibri" w:eastAsia="Calibri" w:hAnsi="Calibri"/>
          <w:color w:val="222222"/>
          <w:sz w:val="20"/>
          <w:szCs w:val="20"/>
        </w:rPr>
        <w:t xml:space="preserve">A Party becoming aware of a personal-data breach affecting the other’s data shall notify the other Party within [24] hours and cooperate on remediation and any regulatory notification.</w:t>
      </w:r>
    </w:p>
    <w:p>
      <w:pPr>
        <w:keepNext/>
        <w:spacing w:after="70" w:before="240"/>
      </w:pPr>
      <w:r>
        <w:rPr>
          <w:rFonts w:ascii="Calibri" w:cs="Calibri" w:eastAsia="Calibri" w:hAnsi="Calibri"/>
          <w:b/>
          <w:bCs/>
          <w:color w:val="1F3A5F"/>
          <w:sz w:val="23"/>
          <w:szCs w:val="23"/>
        </w:rPr>
        <w:t xml:space="preserve">9.  Reporting and transparency</w:t>
      </w:r>
    </w:p>
    <w:p>
      <w:pPr>
        <w:tabs>
          <w:tab w:val="left" w:pos="560"/>
        </w:tabs>
        <w:spacing w:after="90" w:line="252"/>
        <w:ind w:left="560" w:hanging="560"/>
      </w:pPr>
      <w:r>
        <w:rPr>
          <w:rFonts w:ascii="Calibri" w:cs="Calibri" w:eastAsia="Calibri" w:hAnsi="Calibri"/>
          <w:b/>
          <w:bCs/>
          <w:color w:val="1F3A5F"/>
          <w:sz w:val="20"/>
          <w:szCs w:val="20"/>
        </w:rPr>
        <w:t xml:space="preserve">9.1</w:t>
      </w:r>
      <w:r>
        <w:tab/>
      </w:r>
      <w:r>
        <w:rPr>
          <w:rFonts w:ascii="Calibri" w:cs="Calibri" w:eastAsia="Calibri" w:hAnsi="Calibri"/>
          <w:color w:val="222222"/>
          <w:sz w:val="20"/>
          <w:szCs w:val="20"/>
        </w:rPr>
        <w:t xml:space="preserve">The Partner shall provide the reports in Schedule 2, including disbursement confirmations, proof of use, and impact updates, within [7] days of each disbursement or as otherwise specified.</w:t>
      </w:r>
    </w:p>
    <w:p>
      <w:pPr>
        <w:tabs>
          <w:tab w:val="left" w:pos="560"/>
        </w:tabs>
        <w:spacing w:after="90" w:line="252"/>
        <w:ind w:left="560" w:hanging="560"/>
      </w:pPr>
      <w:r>
        <w:rPr>
          <w:rFonts w:ascii="Calibri" w:cs="Calibri" w:eastAsia="Calibri" w:hAnsi="Calibri"/>
          <w:b/>
          <w:bCs/>
          <w:color w:val="1F3A5F"/>
          <w:sz w:val="20"/>
          <w:szCs w:val="20"/>
        </w:rPr>
        <w:t xml:space="preserve">9.2</w:t>
      </w:r>
      <w:r>
        <w:tab/>
      </w:r>
      <w:r>
        <w:rPr>
          <w:rFonts w:ascii="Calibri" w:cs="Calibri" w:eastAsia="Calibri" w:hAnsi="Calibri"/>
          <w:color w:val="222222"/>
          <w:sz w:val="20"/>
          <w:szCs w:val="20"/>
        </w:rPr>
        <w:t xml:space="preserve">The Partner shall promptly notify the Platform of any complaint, adverse event, or change in its registrations or key functionaries.</w:t>
      </w:r>
    </w:p>
    <w:p>
      <w:pPr>
        <w:keepNext/>
        <w:spacing w:after="70" w:before="240"/>
      </w:pPr>
      <w:r>
        <w:rPr>
          <w:rFonts w:ascii="Calibri" w:cs="Calibri" w:eastAsia="Calibri" w:hAnsi="Calibri"/>
          <w:b/>
          <w:bCs/>
          <w:color w:val="1F3A5F"/>
          <w:sz w:val="23"/>
          <w:szCs w:val="23"/>
        </w:rPr>
        <w:t xml:space="preserve">10.  Audit and inspection</w:t>
      </w:r>
    </w:p>
    <w:p>
      <w:pPr>
        <w:tabs>
          <w:tab w:val="left" w:pos="560"/>
        </w:tabs>
        <w:spacing w:after="90" w:line="252"/>
        <w:ind w:left="560" w:hanging="560"/>
      </w:pPr>
      <w:r>
        <w:rPr>
          <w:rFonts w:ascii="Calibri" w:cs="Calibri" w:eastAsia="Calibri" w:hAnsi="Calibri"/>
          <w:b/>
          <w:bCs/>
          <w:color w:val="1F3A5F"/>
          <w:sz w:val="20"/>
          <w:szCs w:val="20"/>
        </w:rPr>
        <w:t xml:space="preserve">10.1</w:t>
      </w:r>
      <w:r>
        <w:tab/>
      </w:r>
      <w:r>
        <w:rPr>
          <w:rFonts w:ascii="Calibri" w:cs="Calibri" w:eastAsia="Calibri" w:hAnsi="Calibri"/>
          <w:color w:val="222222"/>
          <w:sz w:val="20"/>
          <w:szCs w:val="20"/>
        </w:rPr>
        <w:t xml:space="preserve">The Platform, its auditors and the Shariah Board may audit or inspect the Partner’s records relating to Causes and funds under this MoU on [7] days’ written notice, or without notice where fraud or misuse is reasonably suspected.</w:t>
      </w:r>
    </w:p>
    <w:p>
      <w:pPr>
        <w:tabs>
          <w:tab w:val="left" w:pos="560"/>
        </w:tabs>
        <w:spacing w:after="90" w:line="252"/>
        <w:ind w:left="560" w:hanging="560"/>
      </w:pPr>
      <w:r>
        <w:rPr>
          <w:rFonts w:ascii="Calibri" w:cs="Calibri" w:eastAsia="Calibri" w:hAnsi="Calibri"/>
          <w:b/>
          <w:bCs/>
          <w:color w:val="1F3A5F"/>
          <w:sz w:val="20"/>
          <w:szCs w:val="20"/>
        </w:rPr>
        <w:t xml:space="preserve">10.2</w:t>
      </w:r>
      <w:r>
        <w:tab/>
      </w:r>
      <w:r>
        <w:rPr>
          <w:rFonts w:ascii="Calibri" w:cs="Calibri" w:eastAsia="Calibri" w:hAnsi="Calibri"/>
          <w:color w:val="222222"/>
          <w:sz w:val="20"/>
          <w:szCs w:val="20"/>
        </w:rPr>
        <w:t xml:space="preserve">The Partner shall provide reasonable access and cooperation, at its own cost.</w:t>
      </w:r>
    </w:p>
    <w:p>
      <w:pPr>
        <w:keepNext/>
        <w:spacing w:after="70" w:before="240"/>
      </w:pPr>
      <w:r>
        <w:rPr>
          <w:rFonts w:ascii="Calibri" w:cs="Calibri" w:eastAsia="Calibri" w:hAnsi="Calibri"/>
          <w:b/>
          <w:bCs/>
          <w:color w:val="1F3A5F"/>
          <w:sz w:val="23"/>
          <w:szCs w:val="23"/>
        </w:rPr>
        <w:t xml:space="preserve">11.  Representations and warranties</w:t>
      </w:r>
    </w:p>
    <w:p>
      <w:pPr>
        <w:tabs>
          <w:tab w:val="left" w:pos="560"/>
        </w:tabs>
        <w:spacing w:after="90" w:line="252"/>
        <w:ind w:left="560" w:hanging="560"/>
      </w:pPr>
      <w:r>
        <w:rPr>
          <w:rFonts w:ascii="Calibri" w:cs="Calibri" w:eastAsia="Calibri" w:hAnsi="Calibri"/>
          <w:b/>
          <w:bCs/>
          <w:color w:val="1F3A5F"/>
          <w:sz w:val="20"/>
          <w:szCs w:val="20"/>
        </w:rPr>
        <w:t xml:space="preserve">11.1</w:t>
      </w:r>
      <w:r>
        <w:tab/>
      </w:r>
      <w:r>
        <w:rPr>
          <w:rFonts w:ascii="Calibri" w:cs="Calibri" w:eastAsia="Calibri" w:hAnsi="Calibri"/>
          <w:color w:val="222222"/>
          <w:sz w:val="20"/>
          <w:szCs w:val="20"/>
        </w:rPr>
        <w:t xml:space="preserve">Each Party warrants that it is duly registered, has authority to enter into this MoU, and is not disqualified under Applicable Law.</w:t>
      </w:r>
    </w:p>
    <w:p>
      <w:pPr>
        <w:tabs>
          <w:tab w:val="left" w:pos="560"/>
        </w:tabs>
        <w:spacing w:after="90" w:line="252"/>
        <w:ind w:left="560" w:hanging="560"/>
      </w:pPr>
      <w:r>
        <w:rPr>
          <w:rFonts w:ascii="Calibri" w:cs="Calibri" w:eastAsia="Calibri" w:hAnsi="Calibri"/>
          <w:b/>
          <w:bCs/>
          <w:color w:val="1F3A5F"/>
          <w:sz w:val="20"/>
          <w:szCs w:val="20"/>
        </w:rPr>
        <w:t xml:space="preserve">11.2</w:t>
      </w:r>
      <w:r>
        <w:tab/>
      </w:r>
      <w:r>
        <w:rPr>
          <w:rFonts w:ascii="Calibri" w:cs="Calibri" w:eastAsia="Calibri" w:hAnsi="Calibri"/>
          <w:color w:val="222222"/>
          <w:sz w:val="20"/>
          <w:szCs w:val="20"/>
        </w:rPr>
        <w:t xml:space="preserve">The Partner warrants that each Cause and all information it submits is genuine, accurate and not misleading, and that it has obtained all necessary consents.</w:t>
      </w:r>
    </w:p>
    <w:p>
      <w:pPr>
        <w:keepNext/>
        <w:spacing w:after="70" w:before="240"/>
      </w:pPr>
      <w:r>
        <w:rPr>
          <w:rFonts w:ascii="Calibri" w:cs="Calibri" w:eastAsia="Calibri" w:hAnsi="Calibri"/>
          <w:b/>
          <w:bCs/>
          <w:color w:val="1F3A5F"/>
          <w:sz w:val="23"/>
          <w:szCs w:val="23"/>
        </w:rPr>
        <w:t xml:space="preserve">12.  Anti-fraud and misuse</w:t>
      </w:r>
    </w:p>
    <w:p>
      <w:pPr>
        <w:spacing w:after="110" w:line="252"/>
      </w:pPr>
      <w:r>
        <w:rPr>
          <w:rFonts w:ascii="Calibri" w:cs="Calibri" w:eastAsia="Calibri" w:hAnsi="Calibri"/>
          <w:color w:val="222222"/>
          <w:sz w:val="20"/>
          <w:szCs w:val="20"/>
        </w:rPr>
        <w:t xml:space="preserve">If the Partner (or a Cause it raises) is found to involve a fake, fabricated or exaggerated situation, forged documents, or misuse or diversion of funds, the Platform may, without prejudice to other remedies:</w:t>
      </w:r>
    </w:p>
    <w:p>
      <w:pPr>
        <w:tabs>
          <w:tab w:val="left" w:pos="1040"/>
        </w:tabs>
        <w:spacing w:after="60" w:line="250"/>
        <w:ind w:left="1040" w:hanging="480"/>
      </w:pPr>
      <w:r>
        <w:rPr>
          <w:rFonts w:ascii="Calibri" w:cs="Calibri" w:eastAsia="Calibri" w:hAnsi="Calibri"/>
          <w:color w:val="222222"/>
          <w:sz w:val="20"/>
          <w:szCs w:val="20"/>
        </w:rPr>
        <w:t xml:space="preserve">(a)</w:t>
      </w:r>
      <w:r>
        <w:tab/>
      </w:r>
      <w:r>
        <w:rPr>
          <w:rFonts w:ascii="Calibri" w:cs="Calibri" w:eastAsia="Calibri" w:hAnsi="Calibri"/>
          <w:color w:val="222222"/>
          <w:sz w:val="20"/>
          <w:szCs w:val="20"/>
        </w:rPr>
        <w:t xml:space="preserve">immediately suspend the Partner’s access and remove affected Causes;</w:t>
      </w:r>
    </w:p>
    <w:p>
      <w:pPr>
        <w:tabs>
          <w:tab w:val="left" w:pos="1040"/>
        </w:tabs>
        <w:spacing w:after="60" w:line="250"/>
        <w:ind w:left="1040" w:hanging="480"/>
      </w:pPr>
      <w:r>
        <w:rPr>
          <w:rFonts w:ascii="Calibri" w:cs="Calibri" w:eastAsia="Calibri" w:hAnsi="Calibri"/>
          <w:color w:val="222222"/>
          <w:sz w:val="20"/>
          <w:szCs w:val="20"/>
        </w:rPr>
        <w:t xml:space="preserve">(b)</w:t>
      </w:r>
      <w:r>
        <w:tab/>
      </w:r>
      <w:r>
        <w:rPr>
          <w:rFonts w:ascii="Calibri" w:cs="Calibri" w:eastAsia="Calibri" w:hAnsi="Calibri"/>
          <w:color w:val="222222"/>
          <w:sz w:val="20"/>
          <w:szCs w:val="20"/>
        </w:rPr>
        <w:t xml:space="preserve">terminate this MoU and blacklist the Partner and relevant functionaries;</w:t>
      </w:r>
    </w:p>
    <w:p>
      <w:pPr>
        <w:tabs>
          <w:tab w:val="left" w:pos="1040"/>
        </w:tabs>
        <w:spacing w:after="60" w:line="250"/>
        <w:ind w:left="1040" w:hanging="480"/>
      </w:pPr>
      <w:r>
        <w:rPr>
          <w:rFonts w:ascii="Calibri" w:cs="Calibri" w:eastAsia="Calibri" w:hAnsi="Calibri"/>
          <w:color w:val="222222"/>
          <w:sz w:val="20"/>
          <w:szCs w:val="20"/>
        </w:rPr>
        <w:t xml:space="preserve">(c)</w:t>
      </w:r>
      <w:r>
        <w:tab/>
      </w:r>
      <w:r>
        <w:rPr>
          <w:rFonts w:ascii="Calibri" w:cs="Calibri" w:eastAsia="Calibri" w:hAnsi="Calibri"/>
          <w:color w:val="222222"/>
          <w:sz w:val="20"/>
          <w:szCs w:val="20"/>
        </w:rPr>
        <w:t xml:space="preserve">seek recovery of misapplied funds; and</w:t>
      </w:r>
    </w:p>
    <w:p>
      <w:pPr>
        <w:tabs>
          <w:tab w:val="left" w:pos="1040"/>
        </w:tabs>
        <w:spacing w:after="60" w:line="250"/>
        <w:ind w:left="1040" w:hanging="480"/>
      </w:pPr>
      <w:r>
        <w:rPr>
          <w:rFonts w:ascii="Calibri" w:cs="Calibri" w:eastAsia="Calibri" w:hAnsi="Calibri"/>
          <w:color w:val="222222"/>
          <w:sz w:val="20"/>
          <w:szCs w:val="20"/>
        </w:rPr>
        <w:t xml:space="preserve">(d)</w:t>
      </w:r>
      <w:r>
        <w:tab/>
      </w:r>
      <w:r>
        <w:rPr>
          <w:rFonts w:ascii="Calibri" w:cs="Calibri" w:eastAsia="Calibri" w:hAnsi="Calibri"/>
          <w:color w:val="222222"/>
          <w:sz w:val="20"/>
          <w:szCs w:val="20"/>
        </w:rPr>
        <w:t xml:space="preserve">report the matter to the Shariah Board, Donors and competent authorities.</w:t>
      </w:r>
    </w:p>
    <w:p>
      <w:pPr>
        <w:keepNext/>
        <w:spacing w:after="70" w:before="240"/>
      </w:pPr>
      <w:r>
        <w:rPr>
          <w:rFonts w:ascii="Calibri" w:cs="Calibri" w:eastAsia="Calibri" w:hAnsi="Calibri"/>
          <w:b/>
          <w:bCs/>
          <w:color w:val="1F3A5F"/>
          <w:sz w:val="23"/>
          <w:szCs w:val="23"/>
        </w:rPr>
        <w:t xml:space="preserve">13.  Platform cost</w:t>
      </w:r>
    </w:p>
    <w:p>
      <w:pPr>
        <w:tabs>
          <w:tab w:val="left" w:pos="560"/>
        </w:tabs>
        <w:spacing w:after="90" w:line="252"/>
        <w:ind w:left="560" w:hanging="560"/>
      </w:pPr>
      <w:r>
        <w:rPr>
          <w:rFonts w:ascii="Calibri" w:cs="Calibri" w:eastAsia="Calibri" w:hAnsi="Calibri"/>
          <w:b/>
          <w:bCs/>
          <w:color w:val="1F3A5F"/>
          <w:sz w:val="20"/>
          <w:szCs w:val="20"/>
        </w:rPr>
        <w:t xml:space="preserve">13.1</w:t>
      </w:r>
      <w:r>
        <w:tab/>
      </w:r>
      <w:r>
        <w:rPr>
          <w:rFonts w:ascii="Calibri" w:cs="Calibri" w:eastAsia="Calibri" w:hAnsi="Calibri"/>
          <w:color w:val="222222"/>
          <w:sz w:val="20"/>
          <w:szCs w:val="20"/>
        </w:rPr>
        <w:t xml:space="preserve">Any platform licensing or service cost payable by the Partner is set out in Schedule 3. No such cost shall be recovered from Zakat Funds or from a Beneficiary’s entitlement.</w:t>
      </w:r>
    </w:p>
    <w:p>
      <w:pPr>
        <w:keepNext/>
        <w:spacing w:after="70" w:before="240"/>
      </w:pPr>
      <w:r>
        <w:rPr>
          <w:rFonts w:ascii="Calibri" w:cs="Calibri" w:eastAsia="Calibri" w:hAnsi="Calibri"/>
          <w:b/>
          <w:bCs/>
          <w:color w:val="1F3A5F"/>
          <w:sz w:val="23"/>
          <w:szCs w:val="23"/>
        </w:rPr>
        <w:t xml:space="preserve">14.  Intellectual property and brand</w:t>
      </w:r>
    </w:p>
    <w:p>
      <w:pPr>
        <w:tabs>
          <w:tab w:val="left" w:pos="560"/>
        </w:tabs>
        <w:spacing w:after="90" w:line="252"/>
        <w:ind w:left="560" w:hanging="560"/>
      </w:pPr>
      <w:r>
        <w:rPr>
          <w:rFonts w:ascii="Calibri" w:cs="Calibri" w:eastAsia="Calibri" w:hAnsi="Calibri"/>
          <w:b/>
          <w:bCs/>
          <w:color w:val="1F3A5F"/>
          <w:sz w:val="20"/>
          <w:szCs w:val="20"/>
        </w:rPr>
        <w:t xml:space="preserve">14.1</w:t>
      </w:r>
      <w:r>
        <w:tab/>
      </w:r>
      <w:r>
        <w:rPr>
          <w:rFonts w:ascii="Calibri" w:cs="Calibri" w:eastAsia="Calibri" w:hAnsi="Calibri"/>
          <w:color w:val="222222"/>
          <w:sz w:val="20"/>
          <w:szCs w:val="20"/>
        </w:rPr>
        <w:t xml:space="preserve">All intellectual property in the Platform (software, systems, content and marks) remains the Platform’s. The Partner receives only a limited, revocable, non-transferable licence to use it for participation during the term.</w:t>
      </w:r>
    </w:p>
    <w:p>
      <w:pPr>
        <w:tabs>
          <w:tab w:val="left" w:pos="560"/>
        </w:tabs>
        <w:spacing w:after="90" w:line="252"/>
        <w:ind w:left="560" w:hanging="560"/>
      </w:pPr>
      <w:r>
        <w:rPr>
          <w:rFonts w:ascii="Calibri" w:cs="Calibri" w:eastAsia="Calibri" w:hAnsi="Calibri"/>
          <w:b/>
          <w:bCs/>
          <w:color w:val="1F3A5F"/>
          <w:sz w:val="20"/>
          <w:szCs w:val="20"/>
        </w:rPr>
        <w:t xml:space="preserve">14.2</w:t>
      </w:r>
      <w:r>
        <w:tab/>
      </w:r>
      <w:r>
        <w:rPr>
          <w:rFonts w:ascii="Calibri" w:cs="Calibri" w:eastAsia="Calibri" w:hAnsi="Calibri"/>
          <w:color w:val="222222"/>
          <w:sz w:val="20"/>
          <w:szCs w:val="20"/>
        </w:rPr>
        <w:t xml:space="preserve">Neither Party shall use the other’s name or logo without prior written approval, except to describe the existence of this collaboration.</w:t>
      </w:r>
    </w:p>
    <w:p>
      <w:pPr>
        <w:keepNext/>
        <w:spacing w:after="70" w:before="240"/>
      </w:pPr>
      <w:r>
        <w:rPr>
          <w:rFonts w:ascii="Calibri" w:cs="Calibri" w:eastAsia="Calibri" w:hAnsi="Calibri"/>
          <w:b/>
          <w:bCs/>
          <w:color w:val="1F3A5F"/>
          <w:sz w:val="23"/>
          <w:szCs w:val="23"/>
        </w:rPr>
        <w:t xml:space="preserve">15.  Term</w:t>
      </w:r>
    </w:p>
    <w:p>
      <w:pPr>
        <w:tabs>
          <w:tab w:val="left" w:pos="560"/>
        </w:tabs>
        <w:spacing w:after="90" w:line="252"/>
        <w:ind w:left="560" w:hanging="560"/>
      </w:pPr>
      <w:r>
        <w:rPr>
          <w:rFonts w:ascii="Calibri" w:cs="Calibri" w:eastAsia="Calibri" w:hAnsi="Calibri"/>
          <w:b/>
          <w:bCs/>
          <w:color w:val="1F3A5F"/>
          <w:sz w:val="20"/>
          <w:szCs w:val="20"/>
        </w:rPr>
        <w:t xml:space="preserve">15.1</w:t>
      </w:r>
      <w:r>
        <w:tab/>
      </w:r>
      <w:r>
        <w:rPr>
          <w:rFonts w:ascii="Calibri" w:cs="Calibri" w:eastAsia="Calibri" w:hAnsi="Calibri"/>
          <w:color w:val="222222"/>
          <w:sz w:val="20"/>
          <w:szCs w:val="20"/>
        </w:rPr>
        <w:t xml:space="preserve">This MoU takes effect on the date above and continues for [1] year, renewable by mutual written agreement, unless terminated earlier.</w:t>
      </w:r>
    </w:p>
    <w:p>
      <w:pPr>
        <w:keepNext/>
        <w:spacing w:after="70" w:before="240"/>
      </w:pPr>
      <w:r>
        <w:rPr>
          <w:rFonts w:ascii="Calibri" w:cs="Calibri" w:eastAsia="Calibri" w:hAnsi="Calibri"/>
          <w:b/>
          <w:bCs/>
          <w:color w:val="1F3A5F"/>
          <w:sz w:val="23"/>
          <w:szCs w:val="23"/>
        </w:rPr>
        <w:t xml:space="preserve">16.  Suspension and termination</w:t>
      </w:r>
    </w:p>
    <w:p>
      <w:pPr>
        <w:tabs>
          <w:tab w:val="left" w:pos="560"/>
        </w:tabs>
        <w:spacing w:after="90" w:line="252"/>
        <w:ind w:left="560" w:hanging="560"/>
      </w:pPr>
      <w:r>
        <w:rPr>
          <w:rFonts w:ascii="Calibri" w:cs="Calibri" w:eastAsia="Calibri" w:hAnsi="Calibri"/>
          <w:b/>
          <w:bCs/>
          <w:color w:val="1F3A5F"/>
          <w:sz w:val="20"/>
          <w:szCs w:val="20"/>
        </w:rPr>
        <w:t xml:space="preserve">16.1</w:t>
      </w:r>
      <w:r>
        <w:tab/>
      </w:r>
      <w:r>
        <w:rPr>
          <w:rFonts w:ascii="Calibri" w:cs="Calibri" w:eastAsia="Calibri" w:hAnsi="Calibri"/>
          <w:color w:val="222222"/>
          <w:sz w:val="20"/>
          <w:szCs w:val="20"/>
        </w:rPr>
        <w:t xml:space="preserve">Either Party may terminate for convenience on [30] days’ written notice.</w:t>
      </w:r>
    </w:p>
    <w:p>
      <w:pPr>
        <w:tabs>
          <w:tab w:val="left" w:pos="560"/>
        </w:tabs>
        <w:spacing w:after="90" w:line="252"/>
        <w:ind w:left="560" w:hanging="560"/>
      </w:pPr>
      <w:r>
        <w:rPr>
          <w:rFonts w:ascii="Calibri" w:cs="Calibri" w:eastAsia="Calibri" w:hAnsi="Calibri"/>
          <w:b/>
          <w:bCs/>
          <w:color w:val="1F3A5F"/>
          <w:sz w:val="20"/>
          <w:szCs w:val="20"/>
        </w:rPr>
        <w:t xml:space="preserve">16.2</w:t>
      </w:r>
      <w:r>
        <w:tab/>
      </w:r>
      <w:r>
        <w:rPr>
          <w:rFonts w:ascii="Calibri" w:cs="Calibri" w:eastAsia="Calibri" w:hAnsi="Calibri"/>
          <w:color w:val="222222"/>
          <w:sz w:val="20"/>
          <w:szCs w:val="20"/>
        </w:rPr>
        <w:t xml:space="preserve">Either Party may terminate immediately on written notice if the other commits a material breach not cured within [15] days, becomes insolvent, or loses a registration necessary for this MoU.</w:t>
      </w:r>
    </w:p>
    <w:p>
      <w:pPr>
        <w:tabs>
          <w:tab w:val="left" w:pos="560"/>
        </w:tabs>
        <w:spacing w:after="90" w:line="252"/>
        <w:ind w:left="560" w:hanging="560"/>
      </w:pPr>
      <w:r>
        <w:rPr>
          <w:rFonts w:ascii="Calibri" w:cs="Calibri" w:eastAsia="Calibri" w:hAnsi="Calibri"/>
          <w:b/>
          <w:bCs/>
          <w:color w:val="1F3A5F"/>
          <w:sz w:val="20"/>
          <w:szCs w:val="20"/>
        </w:rPr>
        <w:t xml:space="preserve">16.3</w:t>
      </w:r>
      <w:r>
        <w:tab/>
      </w:r>
      <w:r>
        <w:rPr>
          <w:rFonts w:ascii="Calibri" w:cs="Calibri" w:eastAsia="Calibri" w:hAnsi="Calibri"/>
          <w:color w:val="222222"/>
          <w:sz w:val="20"/>
          <w:szCs w:val="20"/>
        </w:rPr>
        <w:t xml:space="preserve">The Platform may suspend the Partner’s access immediately pending investigation of suspected misuse.</w:t>
      </w:r>
    </w:p>
    <w:p>
      <w:pPr>
        <w:keepNext/>
        <w:spacing w:after="70" w:before="240"/>
      </w:pPr>
      <w:r>
        <w:rPr>
          <w:rFonts w:ascii="Calibri" w:cs="Calibri" w:eastAsia="Calibri" w:hAnsi="Calibri"/>
          <w:b/>
          <w:bCs/>
          <w:color w:val="1F3A5F"/>
          <w:sz w:val="23"/>
          <w:szCs w:val="23"/>
        </w:rPr>
        <w:t xml:space="preserve">17.  Effect of termination</w:t>
      </w:r>
    </w:p>
    <w:p>
      <w:pPr>
        <w:tabs>
          <w:tab w:val="left" w:pos="560"/>
        </w:tabs>
        <w:spacing w:after="90" w:line="252"/>
        <w:ind w:left="560" w:hanging="560"/>
      </w:pPr>
      <w:r>
        <w:rPr>
          <w:rFonts w:ascii="Calibri" w:cs="Calibri" w:eastAsia="Calibri" w:hAnsi="Calibri"/>
          <w:b/>
          <w:bCs/>
          <w:color w:val="1F3A5F"/>
          <w:sz w:val="20"/>
          <w:szCs w:val="20"/>
        </w:rPr>
        <w:t xml:space="preserve">17.1</w:t>
      </w:r>
      <w:r>
        <w:tab/>
      </w:r>
      <w:r>
        <w:rPr>
          <w:rFonts w:ascii="Calibri" w:cs="Calibri" w:eastAsia="Calibri" w:hAnsi="Calibri"/>
          <w:color w:val="222222"/>
          <w:sz w:val="20"/>
          <w:szCs w:val="20"/>
        </w:rPr>
        <w:t xml:space="preserve">On termination the Partner shall stop raising new Causes; the Parties shall complete or settle any in-flight Causes; and each Party shall return or delete the other’s Personal Data and confidential information, subject to legal retention.</w:t>
      </w:r>
    </w:p>
    <w:p>
      <w:pPr>
        <w:tabs>
          <w:tab w:val="left" w:pos="560"/>
        </w:tabs>
        <w:spacing w:after="90" w:line="252"/>
        <w:ind w:left="560" w:hanging="560"/>
      </w:pPr>
      <w:r>
        <w:rPr>
          <w:rFonts w:ascii="Calibri" w:cs="Calibri" w:eastAsia="Calibri" w:hAnsi="Calibri"/>
          <w:b/>
          <w:bCs/>
          <w:color w:val="1F3A5F"/>
          <w:sz w:val="20"/>
          <w:szCs w:val="20"/>
        </w:rPr>
        <w:t xml:space="preserve">17.2</w:t>
      </w:r>
      <w:r>
        <w:tab/>
      </w:r>
      <w:r>
        <w:rPr>
          <w:rFonts w:ascii="Calibri" w:cs="Calibri" w:eastAsia="Calibri" w:hAnsi="Calibri"/>
          <w:color w:val="222222"/>
          <w:sz w:val="20"/>
          <w:szCs w:val="20"/>
        </w:rPr>
        <w:t xml:space="preserve">Clauses on funds, data protection, confidentiality, audit, anti-fraud, indemnity, and dispute resolution survive termination. Termination does not affect accrued rights.</w:t>
      </w:r>
    </w:p>
    <w:p>
      <w:pPr>
        <w:keepNext/>
        <w:spacing w:after="70" w:before="240"/>
      </w:pPr>
      <w:r>
        <w:rPr>
          <w:rFonts w:ascii="Calibri" w:cs="Calibri" w:eastAsia="Calibri" w:hAnsi="Calibri"/>
          <w:b/>
          <w:bCs/>
          <w:color w:val="1F3A5F"/>
          <w:sz w:val="23"/>
          <w:szCs w:val="23"/>
        </w:rPr>
        <w:t xml:space="preserve">18.  Indemnity and liability</w:t>
      </w:r>
    </w:p>
    <w:p>
      <w:pPr>
        <w:tabs>
          <w:tab w:val="left" w:pos="560"/>
        </w:tabs>
        <w:spacing w:after="90" w:line="252"/>
        <w:ind w:left="560" w:hanging="560"/>
      </w:pPr>
      <w:r>
        <w:rPr>
          <w:rFonts w:ascii="Calibri" w:cs="Calibri" w:eastAsia="Calibri" w:hAnsi="Calibri"/>
          <w:b/>
          <w:bCs/>
          <w:color w:val="1F3A5F"/>
          <w:sz w:val="20"/>
          <w:szCs w:val="20"/>
        </w:rPr>
        <w:t xml:space="preserve">18.1</w:t>
      </w:r>
      <w:r>
        <w:tab/>
      </w:r>
      <w:r>
        <w:rPr>
          <w:rFonts w:ascii="Calibri" w:cs="Calibri" w:eastAsia="Calibri" w:hAnsi="Calibri"/>
          <w:color w:val="222222"/>
          <w:sz w:val="20"/>
          <w:szCs w:val="20"/>
        </w:rPr>
        <w:t xml:space="preserve">The Partner shall indemnify the Platform against losses arising from the Partner’s breach of this MoU, fraud, misuse of funds, or data breaches caused by the Partner.</w:t>
      </w:r>
    </w:p>
    <w:p>
      <w:pPr>
        <w:tabs>
          <w:tab w:val="left" w:pos="560"/>
        </w:tabs>
        <w:spacing w:after="90" w:line="252"/>
        <w:ind w:left="560" w:hanging="560"/>
      </w:pPr>
      <w:r>
        <w:rPr>
          <w:rFonts w:ascii="Calibri" w:cs="Calibri" w:eastAsia="Calibri" w:hAnsi="Calibri"/>
          <w:b/>
          <w:bCs/>
          <w:color w:val="1F3A5F"/>
          <w:sz w:val="20"/>
          <w:szCs w:val="20"/>
        </w:rPr>
        <w:t xml:space="preserve">18.2</w:t>
      </w:r>
      <w:r>
        <w:tab/>
      </w:r>
      <w:r>
        <w:rPr>
          <w:rFonts w:ascii="Calibri" w:cs="Calibri" w:eastAsia="Calibri" w:hAnsi="Calibri"/>
          <w:color w:val="222222"/>
          <w:sz w:val="20"/>
          <w:szCs w:val="20"/>
        </w:rPr>
        <w:t xml:space="preserve">Save for fraud, wilful misconduct, or breach of data-protection or confidentiality obligations, each Party’s liability is limited as set out in [Schedule 3 / to be agreed], to the extent permitted by law.</w:t>
      </w:r>
    </w:p>
    <w:p>
      <w:pPr>
        <w:keepNext/>
        <w:spacing w:after="70" w:before="240"/>
      </w:pPr>
      <w:r>
        <w:rPr>
          <w:rFonts w:ascii="Calibri" w:cs="Calibri" w:eastAsia="Calibri" w:hAnsi="Calibri"/>
          <w:b/>
          <w:bCs/>
          <w:color w:val="1F3A5F"/>
          <w:sz w:val="23"/>
          <w:szCs w:val="23"/>
        </w:rPr>
        <w:t xml:space="preserve">19.  Force majeure</w:t>
      </w:r>
    </w:p>
    <w:p>
      <w:pPr>
        <w:tabs>
          <w:tab w:val="left" w:pos="560"/>
        </w:tabs>
        <w:spacing w:after="90" w:line="252"/>
        <w:ind w:left="560" w:hanging="560"/>
      </w:pPr>
      <w:r>
        <w:rPr>
          <w:rFonts w:ascii="Calibri" w:cs="Calibri" w:eastAsia="Calibri" w:hAnsi="Calibri"/>
          <w:b/>
          <w:bCs/>
          <w:color w:val="1F3A5F"/>
          <w:sz w:val="20"/>
          <w:szCs w:val="20"/>
        </w:rPr>
        <w:t xml:space="preserve">19.1</w:t>
      </w:r>
      <w:r>
        <w:tab/>
      </w:r>
      <w:r>
        <w:rPr>
          <w:rFonts w:ascii="Calibri" w:cs="Calibri" w:eastAsia="Calibri" w:hAnsi="Calibri"/>
          <w:color w:val="222222"/>
          <w:sz w:val="20"/>
          <w:szCs w:val="20"/>
        </w:rPr>
        <w:t xml:space="preserve">Neither Party is liable for delay or failure caused by events beyond its reasonable control, provided it notifies the other and mitigates the impact.</w:t>
      </w:r>
    </w:p>
    <w:p>
      <w:pPr>
        <w:keepNext/>
        <w:spacing w:after="70" w:before="240"/>
      </w:pPr>
      <w:r>
        <w:rPr>
          <w:rFonts w:ascii="Calibri" w:cs="Calibri" w:eastAsia="Calibri" w:hAnsi="Calibri"/>
          <w:b/>
          <w:bCs/>
          <w:color w:val="1F3A5F"/>
          <w:sz w:val="23"/>
          <w:szCs w:val="23"/>
        </w:rPr>
        <w:t xml:space="preserve">20.  Governing law and dispute resolution</w:t>
      </w:r>
    </w:p>
    <w:p>
      <w:pPr>
        <w:tabs>
          <w:tab w:val="left" w:pos="560"/>
        </w:tabs>
        <w:spacing w:after="90" w:line="252"/>
        <w:ind w:left="560" w:hanging="560"/>
      </w:pPr>
      <w:r>
        <w:rPr>
          <w:rFonts w:ascii="Calibri" w:cs="Calibri" w:eastAsia="Calibri" w:hAnsi="Calibri"/>
          <w:b/>
          <w:bCs/>
          <w:color w:val="1F3A5F"/>
          <w:sz w:val="20"/>
          <w:szCs w:val="20"/>
        </w:rPr>
        <w:t xml:space="preserve">20.1</w:t>
      </w:r>
      <w:r>
        <w:tab/>
      </w:r>
      <w:r>
        <w:rPr>
          <w:rFonts w:ascii="Calibri" w:cs="Calibri" w:eastAsia="Calibri" w:hAnsi="Calibri"/>
          <w:color w:val="222222"/>
          <w:sz w:val="20"/>
          <w:szCs w:val="20"/>
        </w:rPr>
        <w:t xml:space="preserve">This MoU is governed by the laws of India.</w:t>
      </w:r>
    </w:p>
    <w:p>
      <w:pPr>
        <w:tabs>
          <w:tab w:val="left" w:pos="560"/>
        </w:tabs>
        <w:spacing w:after="90" w:line="252"/>
        <w:ind w:left="560" w:hanging="560"/>
      </w:pPr>
      <w:r>
        <w:rPr>
          <w:rFonts w:ascii="Calibri" w:cs="Calibri" w:eastAsia="Calibri" w:hAnsi="Calibri"/>
          <w:b/>
          <w:bCs/>
          <w:color w:val="1F3A5F"/>
          <w:sz w:val="20"/>
          <w:szCs w:val="20"/>
        </w:rPr>
        <w:t xml:space="preserve">20.2</w:t>
      </w:r>
      <w:r>
        <w:tab/>
      </w:r>
      <w:r>
        <w:rPr>
          <w:rFonts w:ascii="Calibri" w:cs="Calibri" w:eastAsia="Calibri" w:hAnsi="Calibri"/>
          <w:color w:val="222222"/>
          <w:sz w:val="20"/>
          <w:szCs w:val="20"/>
        </w:rPr>
        <w:t xml:space="preserve">The Parties shall first attempt to resolve disputes amicably. Failing which, disputes shall be [referred to arbitration under the Arbitration and Conciliation Act, 1996, seat at [Pune / Mumbai], one arbitrator, in English] / [subject to the exclusive jurisdiction of the courts at [place]].</w:t>
      </w:r>
    </w:p>
    <w:p>
      <w:pPr>
        <w:keepNext/>
        <w:spacing w:after="70" w:before="240"/>
      </w:pPr>
      <w:r>
        <w:rPr>
          <w:rFonts w:ascii="Calibri" w:cs="Calibri" w:eastAsia="Calibri" w:hAnsi="Calibri"/>
          <w:b/>
          <w:bCs/>
          <w:color w:val="1F3A5F"/>
          <w:sz w:val="23"/>
          <w:szCs w:val="23"/>
        </w:rPr>
        <w:t xml:space="preserve">21.  Notices</w:t>
      </w:r>
    </w:p>
    <w:p>
      <w:pPr>
        <w:tabs>
          <w:tab w:val="left" w:pos="560"/>
        </w:tabs>
        <w:spacing w:after="90" w:line="252"/>
        <w:ind w:left="560" w:hanging="560"/>
      </w:pPr>
      <w:r>
        <w:rPr>
          <w:rFonts w:ascii="Calibri" w:cs="Calibri" w:eastAsia="Calibri" w:hAnsi="Calibri"/>
          <w:b/>
          <w:bCs/>
          <w:color w:val="1F3A5F"/>
          <w:sz w:val="20"/>
          <w:szCs w:val="20"/>
        </w:rPr>
        <w:t xml:space="preserve">21.1</w:t>
      </w:r>
      <w:r>
        <w:tab/>
      </w:r>
      <w:r>
        <w:rPr>
          <w:rFonts w:ascii="Calibri" w:cs="Calibri" w:eastAsia="Calibri" w:hAnsi="Calibri"/>
          <w:color w:val="222222"/>
          <w:sz w:val="20"/>
          <w:szCs w:val="20"/>
        </w:rPr>
        <w:t xml:space="preserve">Notices shall be in writing and sent to the addresses/email addresses of the Parties stated above (or as updated in writing).</w:t>
      </w:r>
    </w:p>
    <w:p>
      <w:pPr>
        <w:keepNext/>
        <w:spacing w:after="70" w:before="240"/>
      </w:pPr>
      <w:r>
        <w:rPr>
          <w:rFonts w:ascii="Calibri" w:cs="Calibri" w:eastAsia="Calibri" w:hAnsi="Calibri"/>
          <w:b/>
          <w:bCs/>
          <w:color w:val="1F3A5F"/>
          <w:sz w:val="23"/>
          <w:szCs w:val="23"/>
        </w:rPr>
        <w:t xml:space="preserve">22.  General</w:t>
      </w:r>
    </w:p>
    <w:p>
      <w:pPr>
        <w:tabs>
          <w:tab w:val="left" w:pos="560"/>
        </w:tabs>
        <w:spacing w:after="90" w:line="252"/>
        <w:ind w:left="560" w:hanging="560"/>
      </w:pPr>
      <w:r>
        <w:rPr>
          <w:rFonts w:ascii="Calibri" w:cs="Calibri" w:eastAsia="Calibri" w:hAnsi="Calibri"/>
          <w:b/>
          <w:bCs/>
          <w:color w:val="1F3A5F"/>
          <w:sz w:val="20"/>
          <w:szCs w:val="20"/>
        </w:rPr>
        <w:t xml:space="preserve">22.1</w:t>
      </w:r>
      <w:r>
        <w:tab/>
      </w:r>
      <w:r>
        <w:rPr>
          <w:rFonts w:ascii="Calibri" w:cs="Calibri" w:eastAsia="Calibri" w:hAnsi="Calibri"/>
          <w:color w:val="222222"/>
          <w:sz w:val="20"/>
          <w:szCs w:val="20"/>
        </w:rPr>
        <w:t xml:space="preserve">This MoU is the entire agreement between the Parties on its subject matter and may be amended only in writing signed by both Parties.</w:t>
      </w:r>
    </w:p>
    <w:p>
      <w:pPr>
        <w:tabs>
          <w:tab w:val="left" w:pos="560"/>
        </w:tabs>
        <w:spacing w:after="90" w:line="252"/>
        <w:ind w:left="560" w:hanging="560"/>
      </w:pPr>
      <w:r>
        <w:rPr>
          <w:rFonts w:ascii="Calibri" w:cs="Calibri" w:eastAsia="Calibri" w:hAnsi="Calibri"/>
          <w:b/>
          <w:bCs/>
          <w:color w:val="1F3A5F"/>
          <w:sz w:val="20"/>
          <w:szCs w:val="20"/>
        </w:rPr>
        <w:t xml:space="preserve">22.2</w:t>
      </w:r>
      <w:r>
        <w:tab/>
      </w:r>
      <w:r>
        <w:rPr>
          <w:rFonts w:ascii="Calibri" w:cs="Calibri" w:eastAsia="Calibri" w:hAnsi="Calibri"/>
          <w:color w:val="222222"/>
          <w:sz w:val="20"/>
          <w:szCs w:val="20"/>
        </w:rPr>
        <w:t xml:space="preserve">Neither Party may assign this MoU without the other’s prior written consent. If any provision is invalid, the remainder continues in force. This MoU may be signed in counterparts.</w:t>
      </w:r>
    </w:p>
    <w:p>
      <w:r>
        <w:br w:type="page"/>
      </w:r>
    </w:p>
    <w:p>
      <w:pPr>
        <w:spacing w:after="120"/>
      </w:pPr>
      <w:r>
        <w:rPr>
          <w:rFonts w:ascii="Calibri" w:cs="Calibri" w:eastAsia="Calibri" w:hAnsi="Calibri"/>
          <w:b/>
          <w:bCs/>
          <w:color w:val="1F3A5F"/>
          <w:sz w:val="23"/>
          <w:szCs w:val="23"/>
        </w:rPr>
        <w:t xml:space="preserve">Signed by the Parties</w:t>
      </w:r>
    </w:p>
    <w:p>
      <w:pPr>
        <w:spacing w:after="40" w:before="120"/>
      </w:pPr>
      <w:r>
        <w:rPr>
          <w:rFonts w:ascii="Calibri" w:cs="Calibri" w:eastAsia="Calibri" w:hAnsi="Calibri"/>
          <w:b/>
          <w:bCs/>
          <w:color w:val="2E6B4F"/>
          <w:sz w:val="20"/>
          <w:szCs w:val="20"/>
        </w:rPr>
        <w:t xml:space="preserve">For and on behalf of the Platform — [Platform legal name]</w:t>
      </w:r>
    </w:p>
    <w:tbl>
      <w:tblPr>
        <w:tblW w:type="dxa" w:w="9400"/>
        <w:tblBorders>
          <w:top w:val="none"/>
          <w:left w:val="none"/>
          <w:bottom w:val="none"/>
          <w:right w:val="none"/>
          <w:insideH w:val="none"/>
          <w:insideV w:val="none"/>
        </w:tblBorders>
      </w:tblPr>
      <w:tblGrid>
        <w:gridCol w:w="4700"/>
        <w:gridCol w:w="4700"/>
      </w:tblGrid>
      <w:tr>
        <w:tc>
          <w:tcPr>
            <w:tcW w:type="dxa" w:w="4700"/>
            <w:tcBorders>
              <w:top w:val="none"/>
              <w:left w:val="none"/>
              <w:bottom w:val="single" w:color="888888" w:sz="4"/>
              <w:right w:val="none"/>
            </w:tcBorders>
            <w:tcMar>
              <w:top w:type="dxa" w:w="200"/>
              <w:left w:type="dxa" w:w="0"/>
              <w:bottom w:type="dxa" w:w="40"/>
              <w:right w:type="dxa" w:w="200"/>
            </w:tcMar>
          </w:tcPr>
          <w:p>
            <w:pPr>
              <w:spacing w:after="20" w:before="260"/>
            </w:pPr>
            <w:r>
              <w:rPr>
                <w:rFonts w:ascii="Calibri" w:cs="Calibri" w:eastAsia="Calibri" w:hAnsi="Calibri"/>
                <w:color w:val="5B6670"/>
                <w:sz w:val="18"/>
                <w:szCs w:val="18"/>
              </w:rPr>
              <w:t xml:space="preserve">Name</w:t>
            </w:r>
          </w:p>
        </w:tc>
        <w:tc>
          <w:tcPr>
            <w:tcW w:type="dxa" w:w="4700"/>
            <w:tcBorders>
              <w:top w:val="none"/>
              <w:left w:val="none"/>
              <w:bottom w:val="single" w:color="888888" w:sz="4"/>
              <w:right w:val="none"/>
            </w:tcBorders>
            <w:tcMar>
              <w:top w:type="dxa" w:w="200"/>
              <w:left w:type="dxa" w:w="0"/>
              <w:bottom w:type="dxa" w:w="40"/>
              <w:right w:type="dxa" w:w="200"/>
            </w:tcMar>
          </w:tcPr>
          <w:p>
            <w:pPr>
              <w:spacing w:after="20" w:before="260"/>
            </w:pPr>
            <w:r>
              <w:rPr>
                <w:rFonts w:ascii="Calibri" w:cs="Calibri" w:eastAsia="Calibri" w:hAnsi="Calibri"/>
                <w:color w:val="5B6670"/>
                <w:sz w:val="18"/>
                <w:szCs w:val="18"/>
              </w:rPr>
              <w:t xml:space="preserve">Designation</w:t>
            </w:r>
          </w:p>
        </w:tc>
      </w:tr>
      <w:tr>
        <w:tc>
          <w:tcPr>
            <w:tcW w:type="dxa" w:w="4700"/>
            <w:tcBorders>
              <w:top w:val="none"/>
              <w:left w:val="none"/>
              <w:bottom w:val="single" w:color="888888" w:sz="4"/>
              <w:right w:val="none"/>
            </w:tcBorders>
            <w:tcMar>
              <w:top w:type="dxa" w:w="200"/>
              <w:left w:type="dxa" w:w="0"/>
              <w:bottom w:type="dxa" w:w="40"/>
              <w:right w:type="dxa" w:w="200"/>
            </w:tcMar>
          </w:tcPr>
          <w:p>
            <w:pPr>
              <w:spacing w:after="20" w:before="260"/>
            </w:pPr>
            <w:r>
              <w:rPr>
                <w:rFonts w:ascii="Calibri" w:cs="Calibri" w:eastAsia="Calibri" w:hAnsi="Calibri"/>
                <w:color w:val="5B6670"/>
                <w:sz w:val="18"/>
                <w:szCs w:val="18"/>
              </w:rPr>
              <w:t xml:space="preserve">Signature</w:t>
            </w:r>
          </w:p>
        </w:tc>
        <w:tc>
          <w:tcPr>
            <w:tcW w:type="dxa" w:w="4700"/>
            <w:tcBorders>
              <w:top w:val="none"/>
              <w:left w:val="none"/>
              <w:bottom w:val="single" w:color="888888" w:sz="4"/>
              <w:right w:val="none"/>
            </w:tcBorders>
            <w:tcMar>
              <w:top w:type="dxa" w:w="200"/>
              <w:left w:type="dxa" w:w="0"/>
              <w:bottom w:type="dxa" w:w="40"/>
              <w:right w:type="dxa" w:w="200"/>
            </w:tcMar>
          </w:tcPr>
          <w:p>
            <w:pPr>
              <w:spacing w:after="20" w:before="260"/>
            </w:pPr>
            <w:r>
              <w:rPr>
                <w:rFonts w:ascii="Calibri" w:cs="Calibri" w:eastAsia="Calibri" w:hAnsi="Calibri"/>
                <w:color w:val="5B6670"/>
                <w:sz w:val="18"/>
                <w:szCs w:val="18"/>
              </w:rPr>
              <w:t xml:space="preserve">Date</w:t>
            </w:r>
          </w:p>
        </w:tc>
      </w:tr>
    </w:tbl>
    <w:p>
      <w:pPr>
        <w:spacing w:after="40" w:before="120"/>
      </w:pPr>
      <w:r>
        <w:rPr>
          <w:rFonts w:ascii="Calibri" w:cs="Calibri" w:eastAsia="Calibri" w:hAnsi="Calibri"/>
          <w:b/>
          <w:bCs/>
          <w:color w:val="2E6B4F"/>
          <w:sz w:val="20"/>
          <w:szCs w:val="20"/>
        </w:rPr>
        <w:t xml:space="preserve">For and on behalf of the Partner — [Partner NGO legal name]</w:t>
      </w:r>
    </w:p>
    <w:tbl>
      <w:tblPr>
        <w:tblW w:type="dxa" w:w="9400"/>
        <w:tblBorders>
          <w:top w:val="none"/>
          <w:left w:val="none"/>
          <w:bottom w:val="none"/>
          <w:right w:val="none"/>
          <w:insideH w:val="none"/>
          <w:insideV w:val="none"/>
        </w:tblBorders>
      </w:tblPr>
      <w:tblGrid>
        <w:gridCol w:w="4700"/>
        <w:gridCol w:w="4700"/>
      </w:tblGrid>
      <w:tr>
        <w:tc>
          <w:tcPr>
            <w:tcW w:type="dxa" w:w="4700"/>
            <w:tcBorders>
              <w:top w:val="none"/>
              <w:left w:val="none"/>
              <w:bottom w:val="single" w:color="888888" w:sz="4"/>
              <w:right w:val="none"/>
            </w:tcBorders>
            <w:tcMar>
              <w:top w:type="dxa" w:w="200"/>
              <w:left w:type="dxa" w:w="0"/>
              <w:bottom w:type="dxa" w:w="40"/>
              <w:right w:type="dxa" w:w="200"/>
            </w:tcMar>
          </w:tcPr>
          <w:p>
            <w:pPr>
              <w:spacing w:after="20" w:before="260"/>
            </w:pPr>
            <w:r>
              <w:rPr>
                <w:rFonts w:ascii="Calibri" w:cs="Calibri" w:eastAsia="Calibri" w:hAnsi="Calibri"/>
                <w:color w:val="5B6670"/>
                <w:sz w:val="18"/>
                <w:szCs w:val="18"/>
              </w:rPr>
              <w:t xml:space="preserve">Name</w:t>
            </w:r>
          </w:p>
        </w:tc>
        <w:tc>
          <w:tcPr>
            <w:tcW w:type="dxa" w:w="4700"/>
            <w:tcBorders>
              <w:top w:val="none"/>
              <w:left w:val="none"/>
              <w:bottom w:val="single" w:color="888888" w:sz="4"/>
              <w:right w:val="none"/>
            </w:tcBorders>
            <w:tcMar>
              <w:top w:type="dxa" w:w="200"/>
              <w:left w:type="dxa" w:w="0"/>
              <w:bottom w:type="dxa" w:w="40"/>
              <w:right w:type="dxa" w:w="200"/>
            </w:tcMar>
          </w:tcPr>
          <w:p>
            <w:pPr>
              <w:spacing w:after="20" w:before="260"/>
            </w:pPr>
            <w:r>
              <w:rPr>
                <w:rFonts w:ascii="Calibri" w:cs="Calibri" w:eastAsia="Calibri" w:hAnsi="Calibri"/>
                <w:color w:val="5B6670"/>
                <w:sz w:val="18"/>
                <w:szCs w:val="18"/>
              </w:rPr>
              <w:t xml:space="preserve">Designation</w:t>
            </w:r>
          </w:p>
        </w:tc>
      </w:tr>
      <w:tr>
        <w:tc>
          <w:tcPr>
            <w:tcW w:type="dxa" w:w="4700"/>
            <w:tcBorders>
              <w:top w:val="none"/>
              <w:left w:val="none"/>
              <w:bottom w:val="single" w:color="888888" w:sz="4"/>
              <w:right w:val="none"/>
            </w:tcBorders>
            <w:tcMar>
              <w:top w:type="dxa" w:w="200"/>
              <w:left w:type="dxa" w:w="0"/>
              <w:bottom w:type="dxa" w:w="40"/>
              <w:right w:type="dxa" w:w="200"/>
            </w:tcMar>
          </w:tcPr>
          <w:p>
            <w:pPr>
              <w:spacing w:after="20" w:before="260"/>
            </w:pPr>
            <w:r>
              <w:rPr>
                <w:rFonts w:ascii="Calibri" w:cs="Calibri" w:eastAsia="Calibri" w:hAnsi="Calibri"/>
                <w:color w:val="5B6670"/>
                <w:sz w:val="18"/>
                <w:szCs w:val="18"/>
              </w:rPr>
              <w:t xml:space="preserve">Signature</w:t>
            </w:r>
          </w:p>
        </w:tc>
        <w:tc>
          <w:tcPr>
            <w:tcW w:type="dxa" w:w="4700"/>
            <w:tcBorders>
              <w:top w:val="none"/>
              <w:left w:val="none"/>
              <w:bottom w:val="single" w:color="888888" w:sz="4"/>
              <w:right w:val="none"/>
            </w:tcBorders>
            <w:tcMar>
              <w:top w:type="dxa" w:w="200"/>
              <w:left w:type="dxa" w:w="0"/>
              <w:bottom w:type="dxa" w:w="40"/>
              <w:right w:type="dxa" w:w="200"/>
            </w:tcMar>
          </w:tcPr>
          <w:p>
            <w:pPr>
              <w:spacing w:after="20" w:before="260"/>
            </w:pPr>
            <w:r>
              <w:rPr>
                <w:rFonts w:ascii="Calibri" w:cs="Calibri" w:eastAsia="Calibri" w:hAnsi="Calibri"/>
                <w:color w:val="5B6670"/>
                <w:sz w:val="18"/>
                <w:szCs w:val="18"/>
              </w:rPr>
              <w:t xml:space="preserve">Date</w:t>
            </w:r>
          </w:p>
        </w:tc>
      </w:tr>
    </w:tbl>
    <w:p>
      <w:pPr>
        <w:spacing w:after="40" w:before="160"/>
      </w:pPr>
      <w:r>
        <w:rPr>
          <w:rFonts w:ascii="Calibri" w:cs="Calibri" w:eastAsia="Calibri" w:hAnsi="Calibri"/>
          <w:b/>
          <w:bCs/>
          <w:color w:val="2E6B4F"/>
          <w:sz w:val="20"/>
          <w:szCs w:val="20"/>
        </w:rPr>
        <w:t xml:space="preserve">Witnesses</w:t>
      </w:r>
    </w:p>
    <w:tbl>
      <w:tblPr>
        <w:tblW w:type="dxa" w:w="9400"/>
        <w:tblBorders>
          <w:top w:val="none"/>
          <w:left w:val="none"/>
          <w:bottom w:val="none"/>
          <w:right w:val="none"/>
          <w:insideH w:val="none"/>
          <w:insideV w:val="none"/>
        </w:tblBorders>
      </w:tblPr>
      <w:tblGrid>
        <w:gridCol w:w="4700"/>
        <w:gridCol w:w="4700"/>
      </w:tblGrid>
      <w:tr>
        <w:tc>
          <w:tcPr>
            <w:tcW w:type="dxa" w:w="4700"/>
            <w:tcBorders>
              <w:top w:val="none"/>
              <w:left w:val="none"/>
              <w:bottom w:val="single" w:color="888888" w:sz="4"/>
              <w:right w:val="none"/>
            </w:tcBorders>
            <w:tcMar>
              <w:top w:type="dxa" w:w="200"/>
              <w:left w:type="dxa" w:w="0"/>
              <w:bottom w:type="dxa" w:w="40"/>
              <w:right w:type="dxa" w:w="200"/>
            </w:tcMar>
          </w:tcPr>
          <w:p>
            <w:pPr>
              <w:spacing w:after="20" w:before="260"/>
            </w:pPr>
            <w:r>
              <w:rPr>
                <w:rFonts w:ascii="Calibri" w:cs="Calibri" w:eastAsia="Calibri" w:hAnsi="Calibri"/>
                <w:color w:val="5B6670"/>
                <w:sz w:val="18"/>
                <w:szCs w:val="18"/>
              </w:rPr>
              <w:t xml:space="preserve">Witness 1 — name &amp; signature</w:t>
            </w:r>
          </w:p>
        </w:tc>
        <w:tc>
          <w:tcPr>
            <w:tcW w:type="dxa" w:w="4700"/>
            <w:tcBorders>
              <w:top w:val="none"/>
              <w:left w:val="none"/>
              <w:bottom w:val="single" w:color="888888" w:sz="4"/>
              <w:right w:val="none"/>
            </w:tcBorders>
            <w:tcMar>
              <w:top w:type="dxa" w:w="200"/>
              <w:left w:type="dxa" w:w="0"/>
              <w:bottom w:type="dxa" w:w="40"/>
              <w:right w:type="dxa" w:w="200"/>
            </w:tcMar>
          </w:tcPr>
          <w:p>
            <w:pPr>
              <w:spacing w:after="20" w:before="260"/>
            </w:pPr>
            <w:r>
              <w:rPr>
                <w:rFonts w:ascii="Calibri" w:cs="Calibri" w:eastAsia="Calibri" w:hAnsi="Calibri"/>
                <w:color w:val="5B6670"/>
                <w:sz w:val="18"/>
                <w:szCs w:val="18"/>
              </w:rPr>
              <w:t xml:space="preserve">Witness 2 — name &amp; signature</w:t>
            </w:r>
          </w:p>
        </w:tc>
      </w:tr>
    </w:tbl>
    <w:p>
      <w:r>
        <w:br w:type="page"/>
      </w:r>
    </w:p>
    <w:p>
      <w:pPr>
        <w:spacing w:after="100"/>
      </w:pPr>
      <w:r>
        <w:rPr>
          <w:rFonts w:ascii="Calibri" w:cs="Calibri" w:eastAsia="Calibri" w:hAnsi="Calibri"/>
          <w:b/>
          <w:bCs/>
          <w:color w:val="1F3A5F"/>
          <w:sz w:val="26"/>
          <w:szCs w:val="26"/>
        </w:rPr>
        <w:t xml:space="preserve">Schedules</w:t>
      </w:r>
    </w:p>
    <w:p>
      <w:pPr>
        <w:spacing w:after="80" w:before="200"/>
      </w:pPr>
      <w:r>
        <w:rPr>
          <w:rFonts w:ascii="Calibri" w:cs="Calibri" w:eastAsia="Calibri" w:hAnsi="Calibri"/>
          <w:b/>
          <w:bCs/>
          <w:color w:val="2E6B4F"/>
          <w:sz w:val="22"/>
          <w:szCs w:val="22"/>
        </w:rPr>
        <w:t xml:space="preserve">Schedule 1 — Beneficiary verification &amp; KYC standards</w:t>
      </w:r>
    </w:p>
    <w:p>
      <w:pPr>
        <w:spacing w:after="110" w:line="252"/>
      </w:pPr>
      <w:r>
        <w:rPr>
          <w:rFonts w:ascii="Calibri" w:cs="Calibri" w:eastAsia="Calibri" w:hAnsi="Calibri"/>
          <w:color w:val="222222"/>
          <w:sz w:val="20"/>
          <w:szCs w:val="20"/>
        </w:rPr>
        <w:t xml:space="preserve">The Partner shall verify each Beneficiary in line with the Platform’s Beneficiary-Verification SOP, including the eight zakat categories (asnaf), the minimum document set (identity, need evidence, bank details, supporting documents), and the recorded eligibility ruling. [Attach or reference the current SOP version.]</w:t>
      </w:r>
    </w:p>
    <w:p>
      <w:pPr>
        <w:spacing w:after="80" w:before="200"/>
      </w:pPr>
      <w:r>
        <w:rPr>
          <w:rFonts w:ascii="Calibri" w:cs="Calibri" w:eastAsia="Calibri" w:hAnsi="Calibri"/>
          <w:b/>
          <w:bCs/>
          <w:color w:val="2E6B4F"/>
          <w:sz w:val="22"/>
          <w:szCs w:val="22"/>
        </w:rPr>
        <w:t xml:space="preserve">Schedule 2 — Reporting requirements &amp; timelines</w:t>
      </w:r>
    </w:p>
    <w:p>
      <w:pPr>
        <w:spacing w:after="110" w:line="252"/>
      </w:pPr>
      <w:r>
        <w:rPr>
          <w:rFonts w:ascii="Calibri" w:cs="Calibri" w:eastAsia="Calibri" w:hAnsi="Calibri"/>
          <w:color w:val="222222"/>
          <w:sz w:val="20"/>
          <w:szCs w:val="20"/>
        </w:rPr>
        <w:t xml:space="preserve">For each Cause: disbursement confirmation and proof of receipt; evidence of use for the stated purpose; and an impact update. Reports due within [7] days of disbursement, plus a [quarterly] summary. [Specify format and channel.]</w:t>
      </w:r>
    </w:p>
    <w:p>
      <w:pPr>
        <w:spacing w:after="80" w:before="200"/>
      </w:pPr>
      <w:r>
        <w:rPr>
          <w:rFonts w:ascii="Calibri" w:cs="Calibri" w:eastAsia="Calibri" w:hAnsi="Calibri"/>
          <w:b/>
          <w:bCs/>
          <w:color w:val="2E6B4F"/>
          <w:sz w:val="22"/>
          <w:szCs w:val="22"/>
        </w:rPr>
        <w:t xml:space="preserve">Schedule 3 — Cost, charges and liability</w:t>
      </w:r>
    </w:p>
    <w:p>
      <w:pPr>
        <w:spacing w:after="110" w:line="252"/>
      </w:pPr>
      <w:r>
        <w:rPr>
          <w:rFonts w:ascii="Calibri" w:cs="Calibri" w:eastAsia="Calibri" w:hAnsi="Calibri"/>
          <w:color w:val="222222"/>
          <w:sz w:val="20"/>
          <w:szCs w:val="20"/>
        </w:rPr>
        <w:t xml:space="preserve">Gateway/transaction charges and how they are borne; any platform licensing or service cost payable by the Partner (never recovered from Zakat Funds); and any agreed liability cap. [Complete with counsel.]</w:t>
      </w:r>
    </w:p>
    <w:p>
      <w:pPr>
        <w:spacing w:before="160"/>
      </w:pPr>
      <w:r>
        <w:rPr>
          <w:rFonts w:ascii="Calibri" w:cs="Calibri" w:eastAsia="Calibri" w:hAnsi="Calibri"/>
          <w:i/>
          <w:iCs/>
          <w:color w:val="5B6670"/>
          <w:sz w:val="18"/>
          <w:szCs w:val="18"/>
        </w:rPr>
        <w:t xml:space="preserve">End of MoU template — review and adapt with legal counsel before signing.</w:t>
      </w:r>
    </w:p>
    <w:sectPr>
      <w:headerReference w:type="default" r:id="rId7"/>
      <w:footerReference w:type="default" r:id="rId8"/>
      <w:pgSz w:w="11906" w:h="16838" w:orient="portrait"/>
      <w:pgMar w:top="10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670"/>
        <w:sz w:val="15"/>
        <w:szCs w:val="15"/>
      </w:rPr>
      <w:t xml:space="preserve">Working draft — not legal advice; review with counsel before signing.   ·   Page </w:t>
    </w:r>
    <w:r>
      <w:rPr>
        <w:rFonts w:ascii="Calibri" w:cs="Calibri" w:eastAsia="Calibri" w:hAnsi="Calibri"/>
        <w:color w:val="5B667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C" w:sz="4"/>
      </w:pBdr>
      <w:jc w:val="right"/>
    </w:pPr>
    <w:r>
      <w:rPr>
        <w:rFonts w:ascii="Calibri" w:cs="Calibri" w:eastAsia="Calibri" w:hAnsi="Calibri"/>
        <w:color w:val="5B6670"/>
        <w:sz w:val="16"/>
        <w:szCs w:val="16"/>
      </w:rPr>
      <w:t xml:space="preserve">Partner NGO / Trust MoU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Partner NGO / Trust MoU</dc:title>
  <dc:creator>Partner NGO MoU</dc:creator>
  <cp:lastModifiedBy>Un-named</cp:lastModifiedBy>
  <cp:revision>1</cp:revision>
  <dcterms:created xsi:type="dcterms:W3CDTF">2026-07-15T20:42:55.747Z</dcterms:created>
  <dcterms:modified xsi:type="dcterms:W3CDTF">2026-07-15T20:42:55.763Z</dcterms:modified>
</cp:coreProperties>
</file>

<file path=docProps/custom.xml><?xml version="1.0" encoding="utf-8"?>
<Properties xmlns="http://schemas.openxmlformats.org/officeDocument/2006/custom-properties" xmlns:vt="http://schemas.openxmlformats.org/officeDocument/2006/docPropsVTypes"/>
</file>