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6B4F"/>
          <w:spacing w:val="60"/>
          <w:sz w:val="18"/>
          <w:szCs w:val="18"/>
        </w:rPr>
        <w:t xml:space="preserve">FOUNDING TOOLKIT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Zakat Aggregator Platform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670"/>
          <w:sz w:val="22"/>
          <w:szCs w:val="22"/>
        </w:rPr>
        <w:t xml:space="preserve">Entity structure · Beneficiary verification · NGO due diligence</w:t>
      </w:r>
    </w:p>
    <w:p>
      <w:pPr>
        <w:pBdr>
          <w:bottom w:val="single" w:color="C9D3DC" w:sz="6"/>
        </w:pBdr>
        <w:spacing w:after="60" w:before="60"/>
      </w:pPr>
    </w:p>
    <w:tbl>
      <w:tblPr>
        <w:tblW w:type="dxa" w:w="9360"/>
        <w:tblBorders>
          <w:top w:val="single" w:color="C9D3DC" w:sz="4"/>
          <w:left w:val="single" w:color="2E6B4F" w:sz="18"/>
          <w:bottom w:val="single" w:color="C9D3DC" w:sz="4"/>
          <w:right w:val="single" w:color="C9D3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How to use this document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This is a working draft prepared to structure your conversations with professional advisors — it is not legal, tax, or Shariah advice.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Before acting, have it reviewed by: (1) a Chartered Accountant familiar with the Income Tax Act, 2025 regime; (2) a lawyer experienced in Section 8 / trust and FCRA matters; and (3) a qualified Shariah scholar or board.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Indian rules in this area changed materially in 2025–2026 (new Income Tax Act; FCRA amendments; RBI Payment Aggregator Directions, 2025). Verify every figure and deadline against the current official position before relying on it.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1 — Entity-structure comparison (for your CA / lawyer)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single biggest driver of your legal structure is whether funds ever pool in your accounts. The connector model below (funds settle directly to beneficiaries or partner NGOs via a licensed gateway) avoids RBI Payment Aggregator licensing and FCRA sub-granting problems, and is the recommended basis for all options.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700"/>
        <w:gridCol w:w="3080"/>
        <w:gridCol w:w="3080"/>
        <w:gridCol w:w="15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08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advantages</w:t>
            </w:r>
          </w:p>
        </w:tc>
        <w:tc>
          <w:tcPr>
            <w:tcW w:type="dxa" w:w="308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limitations / risks</w:t>
            </w:r>
          </w:p>
        </w:tc>
        <w:tc>
          <w:tcPr>
            <w:tcW w:type="dxa" w:w="15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Section 8 Company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Non-profit by charter; high credibility with donors, banks, CSR partners.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Corporate form: can hold IP, contracts, staff; clean governance.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Eligible for income-tax exemption (successor to 12A) and donor deduction (successor to 80G).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More compliance than a trust (MCA filings, board, audits).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Cannot distribute profit; needs disciplined governance.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9"/>
                <w:szCs w:val="19"/>
              </w:rPr>
              <w:t xml:space="preserve">Recommended core entity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Public Charitable Trust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Simple, low-cost to form under the Maharashtra Public Trusts Act.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Familiar, trusted format for religious/charitable work.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Weaker fit for a tech platform (no share structure, harder to raise/contract).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Governance depends heavily on trustees named in the deed.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Viable alternative to Section 8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Private Limited (tech)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For-profit; can raise capital and licence the platform (SaaS) to NGOs sustainably.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Keeps commercial and charitable money cleanly separated.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Cannot itself hold or disburse zakat / donor-deduction funds.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 never skim zakat; recover costs from licensing / CSR only.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Optional tech arm of a hybrid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Hybrid (Sec 8 + Pvt Ltd)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Section 8 holds mission, registrations and Shariah governance; Pvt Ltd owns and licenses the tech.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Sustainable AND credible; matches how comparable platforms operate.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Two entities to run; needs clean inter-company agreements and no fund commingling.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9"/>
                <w:szCs w:val="19"/>
              </w:rPr>
              <w:t xml:space="preserve">Best long-term structure</w:t>
            </w:r>
          </w:p>
        </w:tc>
      </w:tr>
      <w:tr>
        <w:tc>
          <w:tcPr>
            <w:tcW w:type="dxa" w:w="170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Political-backed foundation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(None that outweigh the risks for this use case.)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Destroys neutrality and donor trust; deters ulema endorsement.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FCRA restrictions attach to political office-bearers; regulatory hazard.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Risks politicising funds that must reach the eligible poor cleanly.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B23A3A"/>
                <w:sz w:val="19"/>
                <w:szCs w:val="19"/>
              </w:rPr>
              <w:t xml:space="preserve">Avoid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Registrations to line up (confirm current names/sections with your CA)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Income-tax exemption for the non-profit (RNPO registration — successor to 12A/12AB under the Income Tax Act, 2025): provisional first, then regular via Form 10AB.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Donor-deduction registration (successor to 80G) — a major fundraising and trust lever.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NGO Darpan (NITI Aayog) registration.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FCRA — only if you will handle foreign contributions directly; note sub-granting foreign funds to other NGOs is prohibited, so foreign donors should give directly to the FCRA-registered end NGO.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GST / professional-tax / shops registrations for the tech company, as applicable.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2 — Beneficiary-verification SOP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670"/>
          <w:sz w:val="21"/>
          <w:szCs w:val="21"/>
        </w:rPr>
        <w:t xml:space="preserve">Purpose: to ensure that every person or cause approved on the platform is a genuine, Shariah-eligible zakat recipient, verified consistently and documented defensibly, while protecting the beneficiary's dignity and personal data.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2.1 Eligibility — the eight categories (asnaf)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cause is eligible only if the beneficiary falls within a recognised zakat category, as confirmed by your Shariah board. Record which category applies to each case.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2E6B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 (asnaf)</w:t>
            </w:r>
          </w:p>
        </w:tc>
        <w:tc>
          <w:tcPr>
            <w:tcW w:type="dxa" w:w="6240"/>
            <w:shd w:fill="2E6B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 definition to verify against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Al-Fuqara (the poor)</w:t>
            </w:r>
          </w:p>
        </w:tc>
        <w:tc>
          <w:tcPr>
            <w:tcW w:type="dxa" w:w="6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Little or no income; unable to meet basic needs.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Al-Masakin (the needy)</w:t>
            </w:r>
          </w:p>
        </w:tc>
        <w:tc>
          <w:tcPr>
            <w:tcW w:type="dxa" w:w="6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Income insufficient for essential needs of the household.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Al-Gharimin (debtors)</w:t>
            </w:r>
          </w:p>
        </w:tc>
        <w:tc>
          <w:tcPr>
            <w:tcW w:type="dxa" w:w="6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 lawful debt they cannot repay from their own means.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Ibn al-Sabil (stranded traveller)</w:t>
            </w:r>
          </w:p>
        </w:tc>
        <w:tc>
          <w:tcPr>
            <w:tcW w:type="dxa" w:w="6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Traveller cut off from resources, in genuine need.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 Sabilillah / others</w:t>
            </w:r>
          </w:p>
        </w:tc>
        <w:tc>
          <w:tcPr>
            <w:tcW w:type="dxa" w:w="6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Remaining categories per your Shariah board's stated policy. Define scope explicitly to avoid drift.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i/>
          <w:iCs/>
          <w:color w:val="5B6670"/>
          <w:sz w:val="19"/>
          <w:szCs w:val="19"/>
        </w:rPr>
        <w:t xml:space="preserve">Note: your Shariah board should issue a short written ruling defining exactly which categories the platform serves and the tests for each.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2.2 Documents to collect (minimum set)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Identity: government photo ID of the beneficiary (and of the cause-raiser, if different).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Need evidence appropriate to the category, e.g. income proof / absence of income, medical bills and diagnosis, fee demand notices, debt papers.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Bank account details of the final beneficiary (funds settle here directly).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Photographs / supporting documents that substantiate the specific cause.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Signed consent to (a) verification and (b) processing of sensitive personal data under the DPDP framework.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2.3 Verification workflow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cause-raiser submits the cause and documents through the platform; system logs a unique case ID and timestamp.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Completeness check: a Cause Manager confirms all required documents are present; incomplete cases are returned with specific requests.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Identity &amp; KYC: verify beneficiary identity and, where the raiser differs, capture and verify final-beneficiary details.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Needs assessment: match evidence to the declared asnaf category against the written tests; escalate borderline cases to the Shariah reviewer.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Authenticity checks: sanity-check documents, cross-reference where possible, and flag duplicate or previously-rejected applicants.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Shariah sign-off: designated reviewer confirms eligibility and records the category and any conditions.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Decision: approve, request more information, or decline — with the reason recorded against the case ID.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Publication: approved cause goes live with only the minimum information needed; sensitive documents stay in restricted storage, never public.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Disbursement &amp; proof: funds settle to the beneficiary's account via the licensed gateway; capture a post-disbursement update / proof of use.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Close-out: archive the case with full audit trail; apply the retention and deletion policy.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2.4 Controls, timelines and records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Fraud rule: any fake document or fabricated situation results in immediate rejection and blacklisting of the applicant/raiser.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skim: zakat reaches the beneficiary in full (less only unavoidable gateway/GST charges); platform costs are never taken from zakat.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Segregation: zakat is tracked separately from any non-zakat donations end to end.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Service standard: set and publish a target turnaround (e.g. verification within X working days) and monitor 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Four-eyes: approvals above a defined value require a second reviewer.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 trail: every status change is attributable to a named user with a timestamp.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2.5 Data protection (DPDP)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Religious affiliation and financial-hardship information are sensitive. Apply consent, data minimisation, encryption at rest and in transit, role-based access, defined retention, and secure deletion. Never expose beneficiary documents or bank details publicly, and never place personal data in URLs, exports, or third-party tools without a lawful basis and safeguards.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3 — NGO / trust due-diligence checklist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670"/>
          <w:sz w:val="21"/>
          <w:szCs w:val="21"/>
        </w:rPr>
        <w:t xml:space="preserve">Use this before onboarding any partner NGO or trust that raises causes or receives funds through the platform. Record the evidence collected and a clear pass/fail against each item. Re-run annually and on any material change.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560"/>
        <w:gridCol w:w="2650"/>
        <w:gridCol w:w="3650"/>
        <w:gridCol w:w="250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5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5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collect / verify</w:t>
            </w:r>
          </w:p>
        </w:tc>
        <w:tc>
          <w:tcPr>
            <w:tcW w:type="dxa" w:w="25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Legal existence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Registration certificate (trust deed / society / Section 8), PAN of the entity, registered address.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Valid, current, name matches everywhere.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Governing documents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Trust deed / MoA &amp; AoA / bye-laws; list of objects.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Objects genuinely charitable and consistent with zakat use.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Tax registrations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Income-tax exemption (RNPO / successor to 12A) and donor-deduction (successor to 80G) certificates.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 and unexpired; verify on the tax portal.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FCRA status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FCRA registration/prior-permission if the NGO takes foreign funds; designated SBI New Delhi account.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 FCRA where foreign funds are involved; no sub-granting expected of them.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Board/trustee list, key functionaries, conflict-of-interest and no-political-office declarations.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Identifiable, contactable, no disqualifying conflicts.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Financials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Last 2–3 years audited accounts, annual reports, major funding sources.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Audited, coherent, admin costs reasonable.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Bank details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Cancelled cheque / bank verification for the settlement account.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Account in the NGO's legal name; independently verified.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Track record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References, past beneficiaries, field evidence, online reputation.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Demonstrable, credible delivery history.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Shariah alignment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How the NGO identifies and serves eligible recipients; any Shariah oversight.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Consistent with your asnaf policy; endorsed by your board.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Sanctions / adverse media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Screening against sanctions and negative-news sources; key functionaries checked.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adverse findings; document the search.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 &amp; safeguarding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How they handle beneficiary data and vulnerable persons.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Adequate privacy and safeguarding practices.</w:t>
            </w:r>
          </w:p>
        </w:tc>
      </w:tr>
      <w:tr>
        <w:tc>
          <w:tcPr>
            <w:tcW w:type="dxa" w:w="560"/>
            <w:shd w:fill="EEF2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Agreement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Signed MoU: verification duties, reporting, no fund commingling, audit rights, termination.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Executed before first cause goes live.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Ongoing monitoring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Annual re-verification of registrations and audited accounts.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Spot-checks of a sample of the NGO's causes and disbursement proofs.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Immediate review on any complaint, adverse media, or registration lapse.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Right to suspend or offboard for fake causes, misuse, or compliance failure.</w:t>
      </w:r>
    </w:p>
    <w:p>
      <w:pPr>
        <w:pBdr>
          <w:bottom w:val="single" w:color="C9D3DC" w:sz="6"/>
        </w:pBdr>
        <w:spacing w:after="60" w:before="6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5B6670"/>
          <w:sz w:val="19"/>
          <w:szCs w:val="19"/>
        </w:rPr>
        <w:t xml:space="preserve">End of toolkit — review with your CA, lawyer and Shariah board before use.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0"/>
        <w:sz w:val="16"/>
        <w:szCs w:val="16"/>
      </w:rPr>
      <w:t xml:space="preserve">Working draft — not legal, tax or Shariah advice   ·   Page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/>
      </w:pBd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Zakat Aggregator Platform — Founding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6B4F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Zakat Aggregator Platform — Founding Toolkit</dc:title>
  <dc:creator>Founding Toolkit</dc:creator>
  <cp:lastModifiedBy>Un-named</cp:lastModifiedBy>
  <cp:revision>1</cp:revision>
  <dcterms:created xsi:type="dcterms:W3CDTF">2026-07-15T20:28:22.335Z</dcterms:created>
  <dcterms:modified xsi:type="dcterms:W3CDTF">2026-07-15T20:28:22.355Z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