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Point-by-Point Response to Reviewers</w:t>
      </w:r>
    </w:p>
    <w:p>
      <w:r>
        <w:t>We thank the reviewers for their thoughtful and constructive feedback. Below, we address each comment point by point. Reviewer comments are shown in italics, and our responses follow each comment.</w:t>
      </w:r>
    </w:p>
    <w:p/>
    <w:p>
      <w:pPr>
        <w:pStyle w:val="Heading1"/>
      </w:pPr>
      <w:r>
        <w:t>Reviewer 1</w:t>
      </w:r>
    </w:p>
    <w:p>
      <w:pPr>
        <w:pStyle w:val="Heading2"/>
      </w:pPr>
      <w:r>
        <w:t>Comment 1: Manuscript Organization</w:t>
      </w:r>
    </w:p>
    <w:p>
      <w:r>
        <w:rPr>
          <w:i/>
        </w:rPr>
        <w:t>The manuscript is not well organized:</w:t>
        <w:br/>
        <w:t>- The paper assumes familiarity with the trust game. This would be easily fixed by adding a few sentences explaining the structure (and the dominant response options).</w:t>
        <w:br/>
        <w:t>- The presentation is complicated by reporting many results of tangential relevance to the actual topic of the paper:</w:t>
        <w:br/>
        <w:t xml:space="preserve">  -- The whole section on opponent ratings could be reduced to a couple of sentences with the detailed results moved to the supplement.</w:t>
        <w:br/>
        <w:t xml:space="preserve">  -- The effect of game order is weird, and the authors should do more to explain this.</w:t>
        <w:br/>
        <w:t xml:space="preserve">  -- It would be better to consider the debriefing variable as a covariate to see whether results change depending on whether respondents thought they played versus a human or an agent.</w:t>
      </w:r>
    </w:p>
    <w:p/>
    <w:p>
      <w:r>
        <w:rPr>
          <w:b/>
        </w:rPr>
        <w:t xml:space="preserve">RESPONSE: </w:t>
      </w:r>
      <w:r>
        <w:t>[Enter response here]</w:t>
      </w:r>
    </w:p>
    <w:p/>
    <w:p>
      <w:pPr>
        <w:pStyle w:val="Heading2"/>
      </w:pPr>
      <w:r>
        <w:t>Comment 2: Growth Model Analysis</w:t>
      </w:r>
    </w:p>
    <w:p>
      <w:r>
        <w:rPr>
          <w:i/>
        </w:rPr>
        <w:t>Instead of dividing the 25 rounds into three periods, better apply a growth model (excluding the final round) with linear and quadratic trends. Indeed, the authors already consider round number as predictor, so they simply should also include a quadratic trend (along with the interactions). The difference between the periods then becomes evident in different slopes for high/low D individuals. Then the whole section on the three periods could be dropped, as this would be entirely redundant, and the figure should rather show individual rounds at the x axis.</w:t>
      </w:r>
    </w:p>
    <w:p/>
    <w:p>
      <w:r>
        <w:rPr>
          <w:b/>
        </w:rPr>
        <w:t xml:space="preserve">RESPONSE: </w:t>
      </w:r>
      <w:r>
        <w:t>[Enter response here]</w:t>
      </w:r>
    </w:p>
    <w:p/>
    <w:p>
      <w:pPr>
        <w:pStyle w:val="Heading2"/>
      </w:pPr>
      <w:r>
        <w:t>Comment 3: Theoretical Justification</w:t>
      </w:r>
    </w:p>
    <w:p>
      <w:r>
        <w:rPr>
          <w:i/>
        </w:rPr>
        <w:t>More should be done in the theory explaining why we should expect diverging interaction patterns of low vs high D individuals depending on the interaction partner. 10.1017/jdm.2025.1 and 10.1037/xge0001232 might help in this regard.</w:t>
      </w:r>
    </w:p>
    <w:p/>
    <w:p>
      <w:r>
        <w:rPr>
          <w:b/>
        </w:rPr>
        <w:t xml:space="preserve">RESPONSE: </w:t>
      </w:r>
      <w:r>
        <w:t>[Enter response here]</w:t>
      </w:r>
    </w:p>
    <w:p/>
    <w:p>
      <w:pPr>
        <w:pStyle w:val="Heading2"/>
      </w:pPr>
      <w:r>
        <w:t>Comment 4: Strategic Exploitation Visibility</w:t>
      </w:r>
    </w:p>
    <w:p>
      <w:r>
        <w:rPr>
          <w:i/>
        </w:rPr>
        <w:t>The strategic exploitation pattern observed for high D individuals with the "human-like" agent simply cannot be observed with the responsive opponent, given that there are no sustained periods of similarly high or low offers. This should be made more explicit.</w:t>
      </w:r>
    </w:p>
    <w:p/>
    <w:p>
      <w:r>
        <w:rPr>
          <w:b/>
        </w:rPr>
        <w:t xml:space="preserve">RESPONSE: </w:t>
      </w:r>
      <w:r>
        <w:t>[Enter response here]</w:t>
      </w:r>
    </w:p>
    <w:p/>
    <w:p>
      <w:pPr>
        <w:pStyle w:val="Heading2"/>
      </w:pPr>
      <w:r>
        <w:t>Comment 5: D-factor Conceptualization</w:t>
      </w:r>
    </w:p>
    <w:p>
      <w:r>
        <w:rPr>
          <w:i/>
        </w:rPr>
        <w:t>As limitation, the authors mention that they "cannot determine which specific aspects of the D-factor (e.g., Machiavellianism, psychopathy, or narcissism)" drive the effects. Same in the introduction ("incorporating elements like Machiavellianism and Psychopathy"). This is misleading, as specific traits are not an aspect or element of D, but rather are an expression of D that typically comprise additional essentially non-aversive aspects (see e.g. 10.1016/j.copsyc.2025.102111).</w:t>
      </w:r>
    </w:p>
    <w:p/>
    <w:p>
      <w:r>
        <w:rPr>
          <w:b/>
        </w:rPr>
        <w:t xml:space="preserve">RESPONSE: </w:t>
      </w:r>
      <w:r>
        <w:t>[Enter response here]</w:t>
      </w:r>
    </w:p>
    <w:p/>
    <w:p>
      <w:pPr>
        <w:pStyle w:val="Heading2"/>
      </w:pPr>
      <w:r>
        <w:t>Comment 6: Minor Points</w:t>
      </w:r>
    </w:p>
    <w:p>
      <w:r>
        <w:rPr>
          <w:i/>
        </w:rPr>
        <w:t>- Fix reference at 39 and 423 "(Benjamin E. Hilbig et al. 2021b;"</w:t>
        <w:br/>
        <w:t>- Better cite 10.1017/jdm.2025.1 concerning the relation between D and single shot econ games; also consider 10.1177/09567976221116893 and 10.1037/xge0001232</w:t>
        <w:br/>
        <w:t>- Please state how the binary predictors (D level etc) were coded</w:t>
        <w:br/>
        <w:t>- Please state the gender distribution</w:t>
        <w:br/>
        <w:t>- What was the lag between screening and the actual game? And clarify what is meant by "multiple sessions"</w:t>
        <w:br/>
        <w:t>- From the analyses it becomes clear that HMM types were randomly assigned to the study phases, but please make this explicit earlier</w:t>
        <w:br/>
        <w:t>- Consider to qualify the realization of low vs high D individuals based on the distribution observed in 10.1073/pnas.2500830122</w:t>
        <w:br/>
        <w:t>- Delete the explanation of the lack of differences in the payoff at 243 and just dwell on this in the discussion</w:t>
        <w:br/>
        <w:t>- 266: replace "p = 0.000" by p &lt; 0.001</w:t>
      </w:r>
    </w:p>
    <w:p/>
    <w:p>
      <w:r>
        <w:rPr>
          <w:b/>
        </w:rPr>
        <w:t xml:space="preserve">RESPONSE: </w:t>
      </w:r>
      <w:r>
        <w:t>[Enter response here]</w:t>
      </w:r>
    </w:p>
    <w:p/>
    <w:p>
      <w:pPr>
        <w:pStyle w:val="Heading1"/>
      </w:pPr>
      <w:r>
        <w:t>Reviewer 2</w:t>
      </w:r>
    </w:p>
    <w:p>
      <w:pPr>
        <w:pStyle w:val="Heading2"/>
      </w:pPr>
      <w:r>
        <w:t>Comment 1: Strengths Acknowledged</w:t>
      </w:r>
    </w:p>
    <w:p>
      <w:r>
        <w:rPr>
          <w:i/>
        </w:rPr>
        <w:t>The manuscript has a number of notable strengths. First, the use of computer-simulated Hidden Markov Model (HMM) agents to create responsive, human-like investors is innovative and allows for a controlled yet potentially ecologically valid experimental environment. Second, the focus on sustained interactions rather than one-shot encounters is a clear strength. Third, the authors' attention to behavioral change across trials is commendable.</w:t>
      </w:r>
    </w:p>
    <w:p/>
    <w:p>
      <w:r>
        <w:rPr>
          <w:b/>
        </w:rPr>
        <w:t xml:space="preserve">RESPONSE: </w:t>
      </w:r>
      <w:r>
        <w:t>[Enter response here - thank reviewer for positive feedback]</w:t>
      </w:r>
    </w:p>
    <w:p/>
    <w:p>
      <w:pPr>
        <w:pStyle w:val="Heading2"/>
      </w:pPr>
      <w:r>
        <w:t>Comment 2: D-factor vs. Agreeableness/Honesty-Humility</w:t>
      </w:r>
    </w:p>
    <w:p>
      <w:r>
        <w:rPr>
          <w:i/>
        </w:rPr>
        <w:t>The manuscript centers on the D-factor, which remains a controversial construct. A persistent concern in the literature is whether D captures something meaningfully distinct from low agreeableness or from a combination of low agreeableness and low honesty–humility. It would strengthen the theoretical contribution of the manuscript if the authors more explicitly discussed how their findings might generalize to, or be interpreted through, these better-established personality dimensions.</w:t>
      </w:r>
    </w:p>
    <w:p/>
    <w:p>
      <w:r>
        <w:rPr>
          <w:b/>
        </w:rPr>
        <w:t xml:space="preserve">RESPONSE: </w:t>
      </w:r>
      <w:r>
        <w:t>[Enter response here]</w:t>
      </w:r>
    </w:p>
    <w:p/>
    <w:p>
      <w:pPr>
        <w:pStyle w:val="Heading2"/>
      </w:pPr>
      <w:r>
        <w:t>Comment 3: D-factor vs. Dark Triad Traits</w:t>
      </w:r>
    </w:p>
    <w:p>
      <w:r>
        <w:rPr>
          <w:i/>
        </w:rPr>
        <w:t>The manuscript occasionally describes D in a manner that resembles a composite or blend of the Dark Triad traits. Although D is often conceptualized as a unifying core underlying malevolent traits, it may be misleading to describe it as consisting of specific Dark Triad components (e.g., Machiavellianism, psychopathy, narcissism). Clarifying this distinction would improve conceptual precision.</w:t>
      </w:r>
    </w:p>
    <w:p/>
    <w:p>
      <w:r>
        <w:rPr>
          <w:b/>
        </w:rPr>
        <w:t xml:space="preserve">RESPONSE: </w:t>
      </w:r>
      <w:r>
        <w:t>[Enter response here]</w:t>
      </w:r>
    </w:p>
    <w:p/>
    <w:p>
      <w:pPr>
        <w:pStyle w:val="Heading2"/>
      </w:pPr>
      <w:r>
        <w:t>Comment 4: HMM Agent Effectiveness / Ecological Validity</w:t>
      </w:r>
    </w:p>
    <w:p>
      <w:r>
        <w:rPr>
          <w:i/>
        </w:rPr>
        <w:t>The use of HMM agents is a particularly appealing feature of the study; however, it appears that these agents may not have been especially effective at mimicking human opponents. According to the authors' report, approximately 57% of participants either believed they were playing against a human or were unsure, implying that over 40% believed they were playing against a computer. This raises concerns about ecological validity and participants' engagement with the task. It may be informative to examine whether the primary effects replicate when analyses are restricted to participants who believed they were interacting with a human opponent.</w:t>
      </w:r>
    </w:p>
    <w:p/>
    <w:p>
      <w:r>
        <w:rPr>
          <w:b/>
        </w:rPr>
        <w:t xml:space="preserve">RESPONSE: </w:t>
      </w:r>
      <w:r>
        <w:t>[Enter response here]</w:t>
      </w:r>
    </w:p>
    <w:p/>
    <w:p>
      <w:pPr>
        <w:pStyle w:val="Heading2"/>
      </w:pPr>
      <w:r>
        <w:t>Comment 5: Extreme-Groups Approach Limitation</w:t>
      </w:r>
    </w:p>
    <w:p>
      <w:r>
        <w:rPr>
          <w:i/>
        </w:rPr>
        <w:t>The authors' use of an extreme-groups approach is interesting, but it necessarily excludes individuals in the middle of the D distribution. This limits the ability to draw conclusions about how D operates across its full range. I would encourage the authors to acknowledge this limitation more explicitly and to recommend that future research treat D as a continuous variable rather than dichotomizing it.</w:t>
      </w:r>
    </w:p>
    <w:p/>
    <w:p>
      <w:r>
        <w:rPr>
          <w:b/>
        </w:rPr>
        <w:t xml:space="preserve">RESPONSE: </w:t>
      </w:r>
      <w:r>
        <w:t>[Enter response here]</w:t>
      </w:r>
    </w:p>
    <w:p/>
    <w:p>
      <w:pPr>
        <w:pStyle w:val="Heading2"/>
      </w:pPr>
      <w:r>
        <w:t>Comment 6: Power Analysis Concerns</w:t>
      </w:r>
    </w:p>
    <w:p>
      <w:r>
        <w:rPr>
          <w:i/>
        </w:rPr>
        <w:t>I am also somewhat surprised by the claim that a sample size of 180 participants provides sufficient power to detect the targeted three-way interaction examined in the manuscript. This concern is heightened by the fact that the authors go on to test additional interactions, including a four-way interaction, despite basing their power analysis on a three-way interaction. Greater justification of the power assumptions, or a more cautious interpretation of higher-order interactions, would be warranted.</w:t>
      </w:r>
    </w:p>
    <w:p/>
    <w:p>
      <w:r>
        <w:rPr>
          <w:b/>
        </w:rPr>
        <w:t xml:space="preserve">RESPONSE: </w:t>
      </w:r>
      <w:r>
        <w:t>[Enter response here]</w:t>
      </w:r>
    </w:p>
    <w:p/>
    <w:p>
      <w:pPr>
        <w:pStyle w:val="Heading2"/>
      </w:pPr>
      <w:r>
        <w:t>Comment 7: Gender Balance</w:t>
      </w:r>
    </w:p>
    <w:p>
      <w:r>
        <w:rPr>
          <w:i/>
        </w:rPr>
        <w:t>Additionally, it would be helpful to know whether the high-D and low-D groups were balanced with respect to gender. Unequal gender distributions could complicate the interpretation of the results, particularly given known gender differences in both personality traits and economic decision-making.</w:t>
      </w:r>
    </w:p>
    <w:p/>
    <w:p>
      <w:r>
        <w:rPr>
          <w:b/>
        </w:rPr>
        <w:t xml:space="preserve">RESPONSE: </w:t>
      </w:r>
      <w:r>
        <w:t>[Enter response here]</w:t>
      </w:r>
    </w:p>
    <w:p/>
    <w:p>
      <w:pPr>
        <w:pStyle w:val="Heading2"/>
      </w:pPr>
      <w:r>
        <w:t>Comment 8: Analytic Strategy Clarity</w:t>
      </w:r>
    </w:p>
    <w:p>
      <w:r>
        <w:rPr>
          <w:i/>
        </w:rPr>
        <w:t>At several points, the manuscript would benefit from greater clarity regarding the analytic strategy. The authors describe the study as employing a 2 × 2 design, yet elsewhere note that the sample size was chosen to detect a three-way interaction, and later report analyses involving four-way interactions. As a reader, it was somewhat difficult to determine which analyses corresponded to core hypotheses and which were exploratory. Streamlining the analytic approach, or more clearly distinguishing core analyses from exploratory analyses, would substantially improve readability and interpretability.</w:t>
      </w:r>
    </w:p>
    <w:p/>
    <w:p>
      <w:r>
        <w:rPr>
          <w:b/>
        </w:rPr>
        <w:t xml:space="preserve">RESPONSE: </w:t>
      </w:r>
      <w:r>
        <w:t>[Enter response here]</w:t>
      </w:r>
    </w:p>
    <w:p/>
    <w:p>
      <w:pPr>
        <w:pStyle w:val="Heading2"/>
      </w:pPr>
      <w:r>
        <w:t>Comment 9: Learning Dynamics Interpretation</w:t>
      </w:r>
    </w:p>
    <w:p>
      <w:r>
        <w:rPr>
          <w:i/>
        </w:rPr>
        <w:t>The manuscript raises a particularly intriguing idea that deserves further elaboration. The suggestion that high-D individuals may not possess superior social intelligence per se, but instead differ in their learning dynamics—such as being quicker to abandon pro-social norms when environmental predictability is detected—is very interesting. Expanding on this possibility would add depth to the discussion and help reframe the observed behavior as differential adaptation rather than simple strategic dominance.</w:t>
      </w:r>
    </w:p>
    <w:p/>
    <w:p>
      <w:r>
        <w:rPr>
          <w:b/>
        </w:rPr>
        <w:t xml:space="preserve">RESPONSE: </w:t>
      </w:r>
      <w:r>
        <w:t>[Enter response here]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