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DF3" w:rsidRDefault="003828FA" w14:paraId="7B13C38F" w14:textId="7CF2F901"/>
    <w:sectPr w:rsidR="004C2DF3">
      <w:pgSz w:w="11906" w:h="16838"/>
      <w:pgMar w:top="1417" w:right="1417" w:bottom="1134" w:left="1417" w:header="708" w:footer="708" w:gutter="0"/>
      <w:cols w:space="708"/>
      <w:docGrid w:linePitch="360"/>
    </w:sectPr>
    <w:p>
      <w:r>
        <w:rPr>
          <w:sz w:val="64"/>
          <w:rFonts w:ascii="Calibri Light"/>
          <w:color w:val="8496B0"/>
        </w:rPr>
        <w:t>Kostenmixkalkulation</w:t>
      </w:r>
    </w:p>
    <w:tbl>
      <w:tblPr>
        <w:tblStyle w:val="EinfacheTabelle4"/>
        <w:tblW w:w="10000" w:type="dxa"/>
      </w:tblPr>
      <w:tr>
        <w:trHeight w:val="555" w:hRule="atLeast"/>
        <w:tc>
          <w:p>
            <w:r>
              <w:rPr>
                <w:sz w:val="24"/>
                <w:color w:val="2f6ec2"/>
              </w:rPr>
              <w:t xml:space="preserve">Facial Recognition with Smartphones durch Heatmap-Technologie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Laufzeit</w:t>
            </w:r>
          </w:p>
        </w:tc>
      </w:tr>
      <w:tr>
        <w:trPr>
          <w:trHeight w:val="555" w:hRule="atLeast"/>
        </w:trPr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pPr>
              <w:jc w:val="right"/>
            </w:pPr>
            <w:r>
              <w:rPr/>
              <w:t>26</w:t>
              <w:t xml:space="preserve"> Wochen</w:t>
            </w:r>
          </w:p>
        </w:tc>
      </w:tr>
      <w:tr>
        <w:trPr>
          <w:bottom/>
          <w:trHeight w:val="555" w:hRule="atLeast"/>
        </w:trPr>
        <w:tc>
          <w:p>
            <w:r>
              <w:rPr>
                <w:color w:val="2f6ec2"/>
              </w:rPr>
              <w:t>Rolle (Tätigkeiten, Schwerpunkte)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Rabatt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Sätze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Kapazität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Zeit und Kosten</w:t>
            </w:r>
          </w:p>
        </w:tc>
      </w:tr>
      <w:tr>
        <w:trPr>
          <w:trHeight w:val="555" w:hRule="atLeast"/>
        </w:trPr>
        <w:tc>
          <w:tcPr>
            <w:top w:val="double"/>
          </w:tcPr>
          <w:p>
            <w:r>
              <w:rPr>
                <w:color w:val="2f6ec2"/>
              </w:rPr>
              <w:t>Gesamt über Laufzeit</w:t>
            </w:r>
          </w:p>
        </w:tc>
        <w:tc>
          <w:tcPr>
            <w:top w:val="double"/>
          </w:tcPr>
          <w:p>
            <w:pPr>
              <w:jc w:val="right"/>
            </w:pPr>
            <w:r>
              <w:t>NaN%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NaN €/PT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0 FTE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0 PT</w:t>
            </w:r>
          </w:p>
        </w:tc>
      </w:tr>
      <w:tr>
        <w:trPr>
          <w:trHeight w:val="555" w:hRule="atLeast"/>
        </w:trPr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t xml:space="preserve">NaN €/h</w:t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rPr>
                <w:b w:val="true"/>
              </w:rPr>
              <w:t xml:space="preserve">0 €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Listenpreis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t xml:space="preserve">0 €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rPr>
                <w:color w:val="2f6ec2"/>
              </w:rPr>
              <w:t>Summe der Rabatte</w:t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0 €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3</cp:revision>
  <dcterms:created xsi:type="dcterms:W3CDTF">2021-07-12T16:24:00Z</dcterms:created>
  <dcterms:modified xsi:type="dcterms:W3CDTF">2021-07-12T16:49:00Z</dcterms:modified>
</cp:coreProperties>
</file>