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2DF3" w:rsidRDefault="003828FA" w14:paraId="7B13C38F" w14:textId="7CF2F901"/>
    <w:sectPr w:rsidR="004C2DF3">
      <w:pgSz w:w="11906" w:h="16838"/>
      <w:pgMar w:top="1417" w:right="1417" w:bottom="1134" w:left="1417" w:header="708" w:footer="708" w:gutter="0"/>
      <w:cols w:space="708"/>
      <w:docGrid w:linePitch="360"/>
    </w:sectPr>
    <w:p>
      <w:r>
        <w:rPr>
          <w:sz w:val="64"/>
          <w:rFonts w:ascii="Calibri Light"/>
          <w:color w:val="8496B0"/>
        </w:rPr>
        <w:t>Kostenmixkalkulation</w:t>
      </w:r>
    </w:p>
    <w:tbl>
      <w:tblPr>
        <w:tblStyle w:val="EinfacheTabelle4"/>
        <w:tblW w:w="10000" w:type="dxa"/>
      </w:tblPr>
      <w:tr>
        <w:trPr>
          <w:bottom w:val="thick"/>
          <w:trHeight w:val="555" w:hRule="atLeast"/>
        </w:trPr>
        <w:tc>
          <w:p>
            <w:r>
              <w:rPr>
                <w:sz w:val="24"/>
                <w:color w:val="2f6ec2"/>
              </w:rPr>
              <w:t xml:space="preserve">Thine hollowed heavens v2</w:t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rPr>
                <w:jc w:val="right"/>
                <w:color w:val="2f6ec2"/>
              </w:rPr>
              <w:t>Laufzeit</w:t>
            </w:r>
          </w:p>
        </w:tc>
      </w:tr>
      <w:tr>
        <w:trPr>
          <w:trHeight w:val="555" w:hRule="atLeast"/>
        </w:trPr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rPr>
                <w:jc w:val="right"/>
              </w:rPr>
              <w:t>49</w:t>
              <w:t xml:space="preserve"> Wochen</w:t>
            </w:r>
          </w:p>
        </w:tc>
      </w:tr>
      <w:tr>
        <w:trPr>
          <w:bottom/>
          <w:trHeight w:val="555" w:hRule="atLeast"/>
        </w:trPr>
        <w:tc>
          <w:p>
            <w:r>
              <w:rPr>
                <w:color w:val="2f6ec2"/>
              </w:rPr>
              <w:t>Rolle (Tätigkeiten, Schwerpunkte)</w:t>
            </w:r>
          </w:p>
        </w:tc>
        <w:tc>
          <w:p>
            <w:r>
              <w:rPr>
                <w:color w:val="2f6ec2"/>
                <w:jc w:val="right"/>
              </w:rPr>
              <w:t>Rabatt</w:t>
            </w:r>
          </w:p>
        </w:tc>
        <w:tc>
          <w:p>
            <w:r>
              <w:rPr>
                <w:color w:val="2f6ec2"/>
                <w:jc w:val="right"/>
              </w:rPr>
              <w:t>Sätze</w:t>
            </w:r>
          </w:p>
        </w:tc>
        <w:tc>
          <w:p>
            <w:r>
              <w:rPr>
                <w:color w:val="2f6ec2"/>
                <w:jc w:val="right"/>
              </w:rPr>
              <w:t>Kapazität</w:t>
            </w:r>
          </w:p>
        </w:tc>
        <w:tc>
          <w:p>
            <w:r>
              <w:rPr>
                <w:color w:val="2f6ec2"/>
                <w:jc w:val="right"/>
              </w:rPr>
              <w:t>Zeit und Kosten</w:t>
            </w:r>
          </w:p>
        </w:tc>
      </w:tr>
      <w:tr>
        <w:trPr>
          <w:trHeight w:val="555" w:hRule="atLeast"/>
        </w:trPr>
        <w:tc>
          <w:p>
            <w:r>
              <w:rPr>
                <w:jc w:val="right"/>
              </w:rPr>
              <w:t xml:space="preserve">Product Owner, </w:t>
            </w:r>
          </w:p>
        </w:tc>
        <w:tc>
          <w:p>
            <w:r>
              <w:rPr>
                <w:strike w:val="true"/>
              </w:rPr>
              <w:t>1240€/PT</w:t>
            </w:r>
          </w:p>
        </w:tc>
        <w:tc>
          <w:p>
            <w:r>
              <w:t>992€/PT</w:t>
            </w:r>
          </w:p>
        </w:tc>
        <w:tc>
          <w:p>
            <w:r>
              <w:t xml:space="preserve">0,5 FTE</w:t>
            </w:r>
          </w:p>
        </w:tc>
        <w:tc>
          <w:p>
            <w:r>
              <w:t xml:space="preserve">122,5 PT</w:t>
            </w:r>
          </w:p>
        </w:tc>
      </w:tr>
      <w:tr>
        <w:trPr>
          <w:trHeight w:val="555" w:hRule="atLeast"/>
        </w:trPr>
        <w:tc>
          <w:p>
            <w:r>
              <w:t xml:space="preserve">Level: 6</w:t>
            </w:r>
          </w:p>
        </w:tc>
        <w:tc>
          <w:p>
            <w:r>
              <w:t>20%</w:t>
            </w:r>
          </w:p>
        </w:tc>
        <w:tc>
          <w:p>
            <w:r>
              <w:t>124€/h</w:t>
            </w:r>
          </w:p>
        </w:tc>
        <w:tc>
          <w:p>
            <w:r>
              <w:t>20 h/Woche</w:t>
            </w:r>
          </w:p>
        </w:tc>
        <w:tc>
          <w:p>
            <w:r>
              <w:t xml:space="preserve">121520 €</w:t>
            </w:r>
          </w:p>
        </w:tc>
      </w:tr>
      <w:tr>
        <w:trPr>
          <w:trHeight w:val="555" w:hRule="atLeast"/>
        </w:trPr>
        <w:tc>
          <w:p>
            <w:r>
              <w:rPr>
                <w:jc w:val="right"/>
              </w:rPr>
            </w:r>
          </w:p>
        </w:tc>
        <w:tc>
          <w:p>
            <w:r>
              <w:tab/>
            </w:r>
          </w:p>
        </w:tc>
        <w:tc>
          <w:p>
            <w:r>
              <w:t>1080€/PT</w:t>
            </w:r>
          </w:p>
        </w:tc>
        <w:tc>
          <w:p>
            <w:r>
              <w:t xml:space="preserve">0,5 FTE</w:t>
            </w:r>
          </w:p>
        </w:tc>
        <w:tc>
          <w:p>
            <w:r>
              <w:t xml:space="preserve">122,5 PT</w:t>
            </w:r>
          </w:p>
        </w:tc>
      </w:tr>
      <w:tr>
        <w:trPr>
          <w:trHeight w:val="555" w:hRule="atLeast"/>
        </w:trPr>
        <w:tc>
          <w:p>
            <w:r>
              <w:t xml:space="preserve">Level: 5</w:t>
            </w:r>
          </w:p>
        </w:tc>
        <w:tc>
          <w:p>
            <w:r>
              <w:tab/>
            </w:r>
          </w:p>
        </w:tc>
        <w:tc>
          <w:p>
            <w:r>
              <w:t>135€/h</w:t>
            </w:r>
          </w:p>
        </w:tc>
        <w:tc>
          <w:p>
            <w:r>
              <w:t>20 h/Woche</w:t>
            </w:r>
          </w:p>
        </w:tc>
        <w:tc>
          <w:p>
            <w:r>
              <w:t xml:space="preserve">132300 €</w:t>
            </w:r>
          </w:p>
        </w:tc>
      </w:tr>
      <w:tr>
        <w:trPr>
          <w:trHeight w:val="555" w:hRule="atLeast"/>
        </w:trPr>
        <w:tc>
          <w:p>
            <w:r>
              <w:rPr>
                <w:color w:val="2f6ec2"/>
              </w:rPr>
              <w:t>Gesamt über Laufzeit</w:t>
            </w:r>
          </w:p>
        </w:tc>
        <w:tc>
          <w:p>
            <w:r>
              <w:t>10,69%</w:t>
            </w:r>
          </w:p>
        </w:tc>
        <w:tc>
          <w:p>
            <w:r>
              <w:t xml:space="preserve">1036 €/PT</w:t>
            </w:r>
          </w:p>
        </w:tc>
        <w:tc>
          <w:p>
            <w:r>
              <w:t xml:space="preserve">1 FTE</w:t>
            </w:r>
          </w:p>
        </w:tc>
        <w:tc>
          <w:p>
            <w:r>
              <w:t xml:space="preserve">245 PT</w:t>
            </w:r>
          </w:p>
        </w:tc>
      </w:tr>
      <w:tr>
        <w:trPr>
          <w:trHeight w:val="555" w:hRule="atLeast"/>
        </w:trPr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 xml:space="preserve">129,5 €/h</w:t>
            </w:r>
          </w:p>
        </w:tc>
        <w:tc>
          <w:p>
            <w:r>
              <w:tab/>
            </w:r>
          </w:p>
        </w:tc>
        <w:tc>
          <w:p>
            <w:r>
              <w:t xml:space="preserve">253820 €</w:t>
            </w:r>
          </w:p>
        </w:tc>
      </w:tr>
      <w:tr>
        <w:trPr>
          <w:trHeight w:val="555" w:hRule="atLeast"/>
        </w:trPr>
        <w:tc>
          <w:p>
            <w:r>
              <w:rPr>
                <w:color w:val="2f6ec2"/>
              </w:rPr>
              <w:t>Listenpreis</w:t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 xml:space="preserve">284200 €</w:t>
            </w:r>
          </w:p>
        </w:tc>
      </w:tr>
      <w:tr>
        <w:trPr>
          <w:trHeight w:val="555" w:hRule="atLeast"/>
        </w:trPr>
        <w:tc>
          <w:p>
            <w:r>
              <w:rPr>
                <w:color w:val="2f6ec2"/>
              </w:rPr>
              <w:t>Summe der Rabatte</w:t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 xml:space="preserve">-30380 €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77"/>
    <w:rsid w:val="003828FA"/>
    <w:rsid w:val="00414677"/>
    <w:rsid w:val="00824568"/>
    <w:rsid w:val="0097689A"/>
    <w:rsid w:val="00BC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D9D"/>
  <w15:chartTrackingRefBased/>
  <w15:docId w15:val="{C72C3CE8-4A33-4DD1-9F1F-B1B95799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4568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Mayr</dc:creator>
  <cp:keywords/>
  <dc:description/>
  <cp:lastModifiedBy>Tobias Mayr</cp:lastModifiedBy>
  <cp:revision>3</cp:revision>
  <dcterms:created xsi:type="dcterms:W3CDTF">2021-07-12T16:24:00Z</dcterms:created>
  <dcterms:modified xsi:type="dcterms:W3CDTF">2021-07-12T16:49:00Z</dcterms:modified>
</cp:coreProperties>
</file>