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71.0" w:type="dxa"/>
        <w:jc w:val="left"/>
        <w:tblInd w:w="0.0" w:type="dxa"/>
        <w:tblBorders>
          <w:top w:color="000000" w:space="0" w:sz="8" w:val="single"/>
          <w:bottom w:color="000000" w:space="0" w:sz="8" w:val="single"/>
        </w:tblBorders>
        <w:tblLayout w:type="fixed"/>
        <w:tblLook w:val="0400"/>
      </w:tblPr>
      <w:tblGrid>
        <w:gridCol w:w="2615"/>
        <w:gridCol w:w="5148"/>
        <w:gridCol w:w="1508"/>
        <w:tblGridChange w:id="0">
          <w:tblGrid>
            <w:gridCol w:w="2615"/>
            <w:gridCol w:w="5148"/>
            <w:gridCol w:w="1508"/>
          </w:tblGrid>
        </w:tblGridChange>
      </w:tblGrid>
      <w:tr>
        <w:trPr>
          <w:trHeight w:val="1265" w:hRule="atLeast"/>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Fonts w:ascii="Times New Roman" w:cs="Times New Roman" w:eastAsia="Times New Roman" w:hAnsi="Times New Roman"/>
              </w:rPr>
              <w:drawing>
                <wp:inline distB="0" distT="0" distL="0" distR="0">
                  <wp:extent cx="1378745" cy="693385"/>
                  <wp:effectExtent b="0" l="0" r="0" t="0"/>
                  <wp:docPr descr="C:\Users\esprit\Desktop\Logo_ESPRIT.jpg" id="1" name="image1.jpg"/>
                  <a:graphic>
                    <a:graphicData uri="http://schemas.openxmlformats.org/drawingml/2006/picture">
                      <pic:pic>
                        <pic:nvPicPr>
                          <pic:cNvPr descr="C:\Users\esprit\Desktop\Logo_ESPRIT.jpg" id="0" name="image1.jpg"/>
                          <pic:cNvPicPr preferRelativeResize="0"/>
                        </pic:nvPicPr>
                        <pic:blipFill>
                          <a:blip r:embed="rId6"/>
                          <a:srcRect b="0" l="0" r="0" t="0"/>
                          <a:stretch>
                            <a:fillRect/>
                          </a:stretch>
                        </pic:blipFill>
                        <pic:spPr>
                          <a:xfrm>
                            <a:off x="0" y="0"/>
                            <a:ext cx="1378745" cy="693385"/>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3">
            <w:pPr>
              <w:spacing w:after="0" w:lineRule="auto"/>
              <w:ind w:left="-216"/>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Prosit 6: Programmation orientée objet(JAVA)</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4">
            <w:pPr>
              <w:spacing w:after="0" w:lineRule="auto"/>
              <w:ind w:left="-216"/>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TuniProd »</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Objectifs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Dissocier la détection d’une anomalie de son traitement.</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Séparer la gestion des anomalies du reste du code.</w:t>
      </w:r>
    </w:p>
    <w:p w:rsidR="00000000" w:rsidDel="00000000" w:rsidP="00000000" w:rsidRDefault="00000000" w:rsidRPr="00000000" w14:paraId="0000000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application rencontre certaines circonstances exceptionnelles qui peuvent compromettre la poursuite  normale de son exécution par exemple des données incorrectes. Pour cela on devra utiliser un mécanisme pour assurer la bonne exécution et omettre certaines situations.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cela, on va reprendre  les deux classes  Produit  et Magasin </w:t>
      </w:r>
    </w:p>
    <w:p w:rsidR="00000000" w:rsidDel="00000000" w:rsidP="00000000" w:rsidRDefault="00000000" w:rsidRPr="00000000" w14:paraId="0000000E">
      <w:pPr>
        <w:numPr>
          <w:ilvl w:val="0"/>
          <w:numId w:val="2"/>
        </w:numPr>
        <w:spacing w:after="0" w:before="280" w:line="480" w:lineRule="auto"/>
        <w:ind w:left="360"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Dans la méthode  ajouterProduit  qui ajoute un produit dans le magasin, enlevez les tests qui vérifient que le magasin  n'est pas plein. </w:t>
      </w:r>
    </w:p>
    <w:p w:rsidR="00000000" w:rsidDel="00000000" w:rsidP="00000000" w:rsidRDefault="00000000" w:rsidRPr="00000000" w14:paraId="0000000F">
      <w:pPr>
        <w:numPr>
          <w:ilvl w:val="0"/>
          <w:numId w:val="2"/>
        </w:numPr>
        <w:spacing w:after="0"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Modifier la taille maximum du tableau produit à 2 </w:t>
      </w:r>
    </w:p>
    <w:p w:rsidR="00000000" w:rsidDel="00000000" w:rsidP="00000000" w:rsidRDefault="00000000" w:rsidRPr="00000000" w14:paraId="00000010">
      <w:pPr>
        <w:numPr>
          <w:ilvl w:val="0"/>
          <w:numId w:val="2"/>
        </w:numPr>
        <w:spacing w:after="0"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Tester l’ajout dans la classe de test des 3 produits</w:t>
      </w:r>
    </w:p>
    <w:p w:rsidR="00000000" w:rsidDel="00000000" w:rsidP="00000000" w:rsidRDefault="00000000" w:rsidRPr="00000000" w14:paraId="00000011">
      <w:pPr>
        <w:numPr>
          <w:ilvl w:val="0"/>
          <w:numId w:val="2"/>
        </w:numPr>
        <w:spacing w:after="0"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  vous remarquez ?</w:t>
      </w:r>
    </w:p>
    <w:p w:rsidR="00000000" w:rsidDel="00000000" w:rsidP="00000000" w:rsidRDefault="00000000" w:rsidRPr="00000000" w14:paraId="00000012">
      <w:pPr>
        <w:numPr>
          <w:ilvl w:val="0"/>
          <w:numId w:val="2"/>
        </w:numPr>
        <w:spacing w:after="0"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corrigez l’erreur en  proposant une solution</w:t>
      </w:r>
    </w:p>
    <w:p w:rsidR="00000000" w:rsidDel="00000000" w:rsidP="00000000" w:rsidRDefault="00000000" w:rsidRPr="00000000" w14:paraId="00000013">
      <w:pPr>
        <w:numPr>
          <w:ilvl w:val="0"/>
          <w:numId w:val="2"/>
        </w:numPr>
        <w:spacing w:after="0"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Ecrivez votre propre classe d'exception </w:t>
      </w:r>
      <w:r w:rsidDel="00000000" w:rsidR="00000000" w:rsidRPr="00000000">
        <w:rPr>
          <w:rFonts w:ascii="Times New Roman" w:cs="Times New Roman" w:eastAsia="Times New Roman" w:hAnsi="Times New Roman"/>
          <w:b w:val="1"/>
          <w:color w:val="000000"/>
          <w:sz w:val="24"/>
          <w:szCs w:val="24"/>
          <w:rtl w:val="0"/>
        </w:rPr>
        <w:t xml:space="preserve">MagasinPleinException,</w:t>
      </w:r>
      <w:r w:rsidDel="00000000" w:rsidR="00000000" w:rsidRPr="00000000">
        <w:rPr>
          <w:rFonts w:ascii="Times New Roman" w:cs="Times New Roman" w:eastAsia="Times New Roman" w:hAnsi="Times New Roman"/>
          <w:color w:val="000000"/>
          <w:sz w:val="24"/>
          <w:szCs w:val="24"/>
          <w:rtl w:val="0"/>
        </w:rPr>
        <w:t xml:space="preserve"> pour ce type d'exception. En effet, la méthode </w:t>
      </w:r>
      <w:r w:rsidDel="00000000" w:rsidR="00000000" w:rsidRPr="00000000">
        <w:rPr>
          <w:rFonts w:ascii="Times New Roman" w:cs="Times New Roman" w:eastAsia="Times New Roman" w:hAnsi="Times New Roman"/>
          <w:b w:val="1"/>
          <w:color w:val="000000"/>
          <w:sz w:val="24"/>
          <w:szCs w:val="24"/>
          <w:rtl w:val="0"/>
        </w:rPr>
        <w:t xml:space="preserve">ajouterProduit()</w:t>
      </w:r>
      <w:r w:rsidDel="00000000" w:rsidR="00000000" w:rsidRPr="00000000">
        <w:rPr>
          <w:rFonts w:ascii="Times New Roman" w:cs="Times New Roman" w:eastAsia="Times New Roman" w:hAnsi="Times New Roman"/>
          <w:color w:val="000000"/>
          <w:sz w:val="24"/>
          <w:szCs w:val="24"/>
          <w:rtl w:val="0"/>
        </w:rPr>
        <w:t xml:space="preserve"> devra utiliser cette nouvelle exception. </w:t>
      </w:r>
    </w:p>
    <w:p w:rsidR="00000000" w:rsidDel="00000000" w:rsidP="00000000" w:rsidRDefault="00000000" w:rsidRPr="00000000" w14:paraId="00000014">
      <w:pPr>
        <w:numPr>
          <w:ilvl w:val="0"/>
          <w:numId w:val="2"/>
        </w:numPr>
        <w:spacing w:before="0" w:line="480" w:lineRule="auto"/>
        <w:ind w:left="426" w:firstLine="6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voulait interdire, l’ajout d’un produit ayant un prix négatif, en effet, nous devons renvoyer l’ exception levée à une classe  </w:t>
      </w:r>
      <w:r w:rsidDel="00000000" w:rsidR="00000000" w:rsidRPr="00000000">
        <w:rPr>
          <w:rFonts w:ascii="Times New Roman" w:cs="Times New Roman" w:eastAsia="Times New Roman" w:hAnsi="Times New Roman"/>
          <w:b w:val="1"/>
          <w:color w:val="000000"/>
          <w:sz w:val="24"/>
          <w:szCs w:val="24"/>
          <w:rtl w:val="0"/>
        </w:rPr>
        <w:t xml:space="preserve">PrixNegatifException</w:t>
      </w:r>
      <w:r w:rsidDel="00000000" w:rsidR="00000000" w:rsidRPr="00000000">
        <w:rPr>
          <w:rFonts w:ascii="Times New Roman" w:cs="Times New Roman" w:eastAsia="Times New Roman" w:hAnsi="Times New Roman"/>
          <w:color w:val="000000"/>
          <w:sz w:val="24"/>
          <w:szCs w:val="24"/>
          <w:rtl w:val="0"/>
        </w:rPr>
        <w:t xml:space="preserve"> qui va la gérer. </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