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4   ·   S U B S Y S T E M</w:t>
      </w:r>
    </w:p>
    <w:p>
      <w:pPr>
        <w:spacing w:after="360" w:line="240"/>
      </w:pPr>
      <w:r>
        <w:rPr>
          <w:rFonts w:ascii="Liberation Serif" w:cs="Liberation Serif" w:eastAsia="Liberation Serif" w:hAnsi="Liberation Serif"/>
          <w:b/>
          <w:bCs/>
          <w:color w:val="14213D"/>
          <w:sz w:val="64"/>
          <w:szCs w:val="64"/>
        </w:rPr>
        <w:t xml:space="preserve">Adaptive</w:t>
      </w:r>
      <w:r>
        <w:rPr>
          <w:rFonts w:ascii="Liberation Serif" w:cs="Liberation Serif" w:eastAsia="Liberation Serif" w:hAnsi="Liberation Serif"/>
          <w:b/>
          <w:bCs/>
          <w:color w:val="C8102E"/>
          <w:sz w:val="64"/>
          <w:szCs w:val="64"/>
        </w:rPr>
        <w:t xml:space="preserve"> Regime</w:t>
      </w:r>
      <w:r>
        <w:rPr>
          <w:rFonts w:ascii="Liberation Serif" w:cs="Liberation Serif" w:eastAsia="Liberation Serif" w:hAnsi="Liberation Serif"/>
          <w:b/>
          <w:bCs/>
          <w:color w:val="14213D"/>
          <w:sz w:val="64"/>
          <w:szCs w:val="64"/>
        </w:rPr>
        <w:t xml:space="preserve"> Detection</w:t>
      </w:r>
    </w:p>
    <w:p>
      <w:pPr>
        <w:spacing w:after="720" w:line="360"/>
      </w:pPr>
      <w:r>
        <w:rPr>
          <w:rFonts w:ascii="Liberation Serif" w:cs="Liberation Serif" w:eastAsia="Liberation Serif" w:hAnsi="Liberation Serif"/>
          <w:i/>
          <w:iCs/>
          <w:color w:val="4A5568"/>
          <w:sz w:val="24"/>
          <w:szCs w:val="24"/>
        </w:rPr>
        <w:t xml:space="preserve">Market state classification for XAUUSD: TREND, RANGE, VOLATILE, NEWS. 3-model ensemble (HMM + LightGBM + Rules). 7 engineered features. Confidence, probability, and explainability scores.</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TARGET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Value</w:t>
            </w:r>
          </w:p>
        </w:tc>
        <w:tc>
          <w:tcPr>
            <w:tcW w:type="dxa" w:w="48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Regimes detected</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48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TREND, RANGE, VOLATILE, NEWS</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Engineered features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 + 1 composite</w:t>
            </w:r>
          </w:p>
        </w:tc>
        <w:tc>
          <w:tcPr>
            <w:tcW w:type="dxa" w:w="48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ADX, ATR, EMA Slope, Hurst, BBW, RealVol, Volume, News</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Ensemble models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48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HMM (0.30) + LightGBM (0.50) + Rules (0.20, veto)</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Score outputs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48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Confidence, Probability[4], Explainability</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False positive rate</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8%</w:t>
            </w:r>
          </w:p>
        </w:tc>
        <w:tc>
          <w:tcPr>
            <w:tcW w:type="dxa" w:w="48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6 layered controls (down from 38% raw)</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Macro F1</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0.76</w:t>
            </w:r>
          </w:p>
        </w:tc>
        <w:tc>
          <w:tcPr>
            <w:tcW w:type="dxa" w:w="48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Walk-forward 24mo × 6 brokers</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Quant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Problem Domain — Why Regime Detection Matters</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The Cost of Regime Misclassification</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Regime Definitions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Chapter 3 — Architecture Overview</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Layer Responsibilities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L1 — Ingest</w:t>
            </w:r>
            <w:r>
              <w:tab/>
            </w:r>
            <w:r>
              <w:fldChar w:fldCharType="begin"/>
            </w:r>
            <w:r>
              <w:instrText xml:space="preserve"> PAGEREF _Toc100006 \h </w:instrText>
            </w:r>
            <w:r>
              <w:fldChar w:fldCharType="separate"/>
            </w:r>
            <w:r>
              <w:t>6</w:t>
            </w:r>
            <w:r>
              <w:fldChar w:fldCharType="end"/>
            </w:r>
          </w:hyperlink>
        </w:p>
        <w:p>
          <w:pPr>
            <w:pStyle w:val="12"/>
            <w:ind w:left="720"/>
            <w:tabs>
              <w:tab w:val="right" w:leader="dot" w:pos="9026"/>
            </w:tabs>
            <w:spacing w:before="120" w:after="60"/>
          </w:pPr>
          <w:hyperlink w:anchor="_Toc100007" w:history="1">
            <w:r>
              <w:rPr>
                <w:rStyle w:val="Hyperlink"/>
              </w:rPr>
              <w:t>L2 — Feature Engineering</w:t>
            </w:r>
            <w:r>
              <w:tab/>
            </w:r>
            <w:r>
              <w:fldChar w:fldCharType="begin"/>
            </w:r>
            <w:r>
              <w:instrText xml:space="preserve"> PAGEREF _Toc100007 \h </w:instrText>
            </w:r>
            <w:r>
              <w:fldChar w:fldCharType="separate"/>
            </w:r>
            <w:r>
              <w:t>6</w:t>
            </w:r>
            <w:r>
              <w:fldChar w:fldCharType="end"/>
            </w:r>
          </w:hyperlink>
        </w:p>
        <w:p>
          <w:pPr>
            <w:pStyle w:val="12"/>
            <w:ind w:left="720"/>
            <w:tabs>
              <w:tab w:val="right" w:leader="dot" w:pos="9026"/>
            </w:tabs>
            <w:spacing w:before="120" w:after="60"/>
          </w:pPr>
          <w:hyperlink w:anchor="_Toc100008" w:history="1">
            <w:r>
              <w:rPr>
                <w:rStyle w:val="Hyperlink"/>
              </w:rPr>
              <w:t>L3 — Model (3-Model Ensemble)</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L4 — Scoring</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L5 — Publication &amp; Observability</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L6 — False Positive Controls</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Chapter 4 — Feature Engineering Pipeline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Feature Definitions</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F1 — ADX (Average Directional Index)</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F2 — ATR (Average True Range)</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F3 — EMA Slope</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F4 — Hurst Exponent</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F5 — Bollinger Width</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F6 — Realized Volatility</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F7 — Volume Analysis</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F8 — News Sentiment (Composite)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Feature Quality Gates</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Chapter 5 — Ensemble Model Design</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Model 1 — Gaussian Hidden Markov Model (HMM)</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Model 2 — LightGBM 4-Class Classifier</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Model 3 — Rules Engine</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Ensemble Voting</w:t>
            </w:r>
            <w:r>
              <w:tab/>
            </w:r>
            <w:r>
              <w:fldChar w:fldCharType="begin"/>
            </w:r>
            <w:r>
              <w:instrText xml:space="preserve"> PAGEREF _Toc100027 \h </w:instrText>
            </w:r>
            <w:r>
              <w:fldChar w:fldCharType="separate"/>
            </w:r>
            <w:r>
              <w:t>12</w:t>
            </w:r>
            <w:r>
              <w:fldChar w:fldCharType="end"/>
            </w:r>
          </w:hyperlink>
        </w:p>
        <w:p>
          <w:pPr>
            <w:pStyle w:val="9"/>
            <w:tabs>
              <w:tab w:val="right" w:leader="dot" w:pos="9026"/>
            </w:tabs>
            <w:spacing w:before="120" w:after="60"/>
          </w:pPr>
          <w:hyperlink w:anchor="_Toc100028" w:history="1">
            <w:r>
              <w:rPr>
                <w:rStyle w:val="Hyperlink"/>
              </w:rPr>
              <w:t>Chapter 6 — Scoring Outputs</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Confidence Score</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Probability Score</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Explainability Score</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Downstream Consumption</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Chapter 7 — Validation Framework</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Walk-Forward Validation</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Validation Metrics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Cross-Session and Cross-Broker Validation</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Stability and Adversarial Tests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Live Shadow Validation</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Chapter 8 — False Positive Controls</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Control 1 — HysteresisGate</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Control 2 — ConfirmationFilter</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Control 3 — StabilityFilter (Min Dwell Time)</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Control 4 — BootstrapValidator</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Control 5 — CrossTimeframeAgreement</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Control 6 — NewsOverrideException</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Empirical Performance</w:t>
            </w:r>
            <w:r>
              <w:tab/>
            </w:r>
            <w:r>
              <w:fldChar w:fldCharType="begin"/>
            </w:r>
            <w:r>
              <w:instrText xml:space="preserve"> PAGEREF _Toc100046 \h </w:instrText>
            </w:r>
            <w:r>
              <w:fldChar w:fldCharType="separate"/>
            </w:r>
            <w:r>
              <w:t>18</w:t>
            </w:r>
            <w:r>
              <w:fldChar w:fldCharType="end"/>
            </w:r>
          </w:hyperlink>
        </w:p>
        <w:p>
          <w:pPr>
            <w:pStyle w:val="9"/>
            <w:tabs>
              <w:tab w:val="right" w:leader="dot" w:pos="9026"/>
            </w:tabs>
            <w:spacing w:before="120" w:after="60"/>
          </w:pPr>
          <w:hyperlink w:anchor="_Toc100047" w:history="1">
            <w:r>
              <w:rPr>
                <w:rStyle w:val="Hyperlink"/>
              </w:rPr>
              <w:t>Chapter 9 — Backtest Framework</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Replay Engine</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Per-Regime Attribution</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Monte Carlo Simulation</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Confusion Matrix</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SHAP Summary</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CI/CD Integration</w:t>
            </w:r>
            <w:r>
              <w:tab/>
            </w:r>
            <w:r>
              <w:fldChar w:fldCharType="begin"/>
            </w:r>
            <w:r>
              <w:instrText xml:space="preserve"> PAGEREF _Toc100053 \h </w:instrText>
            </w:r>
            <w:r>
              <w:fldChar w:fldCharType="separate"/>
            </w:r>
            <w:r>
              <w:t>20</w:t>
            </w:r>
            <w:r>
              <w:fldChar w:fldCharType="end"/>
            </w:r>
          </w:hyperlink>
        </w:p>
        <w:p>
          <w:pPr>
            <w:pStyle w:val="9"/>
            <w:tabs>
              <w:tab w:val="right" w:leader="dot" w:pos="9026"/>
            </w:tabs>
            <w:spacing w:before="120" w:after="60"/>
          </w:pPr>
          <w:hyperlink w:anchor="_Toc100054" w:history="1">
            <w:r>
              <w:rPr>
                <w:rStyle w:val="Hyperlink"/>
              </w:rPr>
              <w:t>Chapter 10 — Regime Transition Map</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Regime Persistence</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Common Transitions</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NEWS Transitions</w:t>
            </w:r>
            <w:r>
              <w:tab/>
            </w:r>
            <w:r>
              <w:fldChar w:fldCharType="begin"/>
            </w:r>
            <w:r>
              <w:instrText xml:space="preserve"> PAGEREF _Toc100057 \h </w:instrText>
            </w:r>
            <w:r>
              <w:fldChar w:fldCharType="separate"/>
            </w:r>
            <w:r>
              <w:t>21</w:t>
            </w:r>
            <w:r>
              <w:fldChar w:fldCharType="end"/>
            </w:r>
          </w:hyperlink>
        </w:p>
        <w:p>
          <w:pPr>
            <w:pStyle w:val="9"/>
            <w:tabs>
              <w:tab w:val="right" w:leader="dot" w:pos="9026"/>
            </w:tabs>
            <w:spacing w:before="120" w:after="60"/>
          </w:pPr>
          <w:hyperlink w:anchor="_Toc100058" w:history="1">
            <w:r>
              <w:rPr>
                <w:rStyle w:val="Hyperlink"/>
              </w:rPr>
              <w:t>Chapter 11 — Adaptive Learning &amp; Retraining</w:t>
            </w:r>
            <w:r>
              <w:tab/>
            </w:r>
            <w:r>
              <w:fldChar w:fldCharType="begin"/>
            </w:r>
            <w:r>
              <w:instrText xml:space="preserve"> PAGEREF _Toc100058 \h </w:instrText>
            </w:r>
            <w:r>
              <w:fldChar w:fldCharType="separate"/>
            </w:r>
            <w:r>
              <w:t>21</w:t>
            </w:r>
            <w:r>
              <w:fldChar w:fldCharType="end"/>
            </w:r>
          </w:hyperlink>
        </w:p>
        <w:p>
          <w:pPr>
            <w:pStyle w:val="11"/>
            <w:ind w:left="360"/>
            <w:tabs>
              <w:tab w:val="right" w:leader="dot" w:pos="9026"/>
            </w:tabs>
            <w:spacing w:before="120" w:after="60"/>
          </w:pPr>
          <w:hyperlink w:anchor="_Toc100059" w:history="1">
            <w:r>
              <w:rPr>
                <w:rStyle w:val="Hyperlink"/>
              </w:rPr>
              <w:t>Per-Session HMM Retraining</w:t>
            </w:r>
            <w:r>
              <w:tab/>
            </w:r>
            <w:r>
              <w:fldChar w:fldCharType="begin"/>
            </w:r>
            <w:r>
              <w:instrText xml:space="preserve"> PAGEREF _Toc100059 \h </w:instrText>
            </w:r>
            <w:r>
              <w:fldChar w:fldCharType="separate"/>
            </w:r>
            <w:r>
              <w:t>21</w:t>
            </w:r>
            <w:r>
              <w:fldChar w:fldCharType="end"/>
            </w:r>
          </w:hyperlink>
        </w:p>
        <w:p>
          <w:pPr>
            <w:pStyle w:val="11"/>
            <w:ind w:left="360"/>
            <w:tabs>
              <w:tab w:val="right" w:leader="dot" w:pos="9026"/>
            </w:tabs>
            <w:spacing w:before="120" w:after="60"/>
          </w:pPr>
          <w:hyperlink w:anchor="_Toc100060" w:history="1">
            <w:r>
              <w:rPr>
                <w:rStyle w:val="Hyperlink"/>
              </w:rPr>
              <w:t>Weekly LightGBM Retraining</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Quarterly Rules Engine Review</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Drift Detection and Auto-Retrain</w:t>
            </w:r>
            <w:r>
              <w:tab/>
            </w:r>
            <w:r>
              <w:fldChar w:fldCharType="begin"/>
            </w:r>
            <w:r>
              <w:instrText xml:space="preserve"> PAGEREF _Toc100062 \h </w:instrText>
            </w:r>
            <w:r>
              <w:fldChar w:fldCharType="separate"/>
            </w:r>
            <w:r>
              <w:t>22</w:t>
            </w:r>
            <w:r>
              <w:fldChar w:fldCharType="end"/>
            </w:r>
          </w:hyperlink>
        </w:p>
        <w:p>
          <w:pPr>
            <w:pStyle w:val="9"/>
            <w:tabs>
              <w:tab w:val="right" w:leader="dot" w:pos="9026"/>
            </w:tabs>
            <w:spacing w:before="120" w:after="60"/>
          </w:pPr>
          <w:hyperlink w:anchor="_Toc100063" w:history="1">
            <w:r>
              <w:rPr>
                <w:rStyle w:val="Hyperlink"/>
              </w:rPr>
              <w:t>Chapter 12 — Performance &amp; Service Level Objectives</w:t>
            </w:r>
            <w:r>
              <w:tab/>
            </w:r>
            <w:r>
              <w:fldChar w:fldCharType="begin"/>
            </w:r>
            <w:r>
              <w:instrText xml:space="preserve"> PAGEREF _Toc100063 \h </w:instrText>
            </w:r>
            <w:r>
              <w:fldChar w:fldCharType="separate"/>
            </w:r>
            <w:r>
              <w:t>22</w:t>
            </w:r>
            <w:r>
              <w:fldChar w:fldCharType="end"/>
            </w:r>
          </w:hyperlink>
        </w:p>
        <w:p>
          <w:pPr>
            <w:pStyle w:val="11"/>
            <w:ind w:left="360"/>
            <w:tabs>
              <w:tab w:val="right" w:leader="dot" w:pos="9026"/>
            </w:tabs>
            <w:spacing w:before="120" w:after="60"/>
          </w:pPr>
          <w:hyperlink w:anchor="_Toc100064" w:history="1">
            <w:r>
              <w:rPr>
                <w:rStyle w:val="Hyperlink"/>
              </w:rPr>
              <w:t>Latency Budget</w:t>
            </w:r>
            <w:r>
              <w:tab/>
            </w:r>
            <w:r>
              <w:fldChar w:fldCharType="begin"/>
            </w:r>
            <w:r>
              <w:instrText xml:space="preserve"> PAGEREF _Toc100064 \h </w:instrText>
            </w:r>
            <w:r>
              <w:fldChar w:fldCharType="separate"/>
            </w:r>
            <w:r>
              <w:t>23</w:t>
            </w:r>
            <w:r>
              <w:fldChar w:fldCharType="end"/>
            </w:r>
          </w:hyperlink>
        </w:p>
        <w:p>
          <w:pPr>
            <w:pStyle w:val="11"/>
            <w:ind w:left="360"/>
            <w:tabs>
              <w:tab w:val="right" w:leader="dot" w:pos="9026"/>
            </w:tabs>
            <w:spacing w:before="120" w:after="60"/>
          </w:pPr>
          <w:hyperlink w:anchor="_Toc100065" w:history="1">
            <w:r>
              <w:rPr>
                <w:rStyle w:val="Hyperlink"/>
              </w:rPr>
              <w:t>Accuracy SLOs</w:t>
            </w:r>
            <w:r>
              <w:tab/>
            </w:r>
            <w:r>
              <w:fldChar w:fldCharType="begin"/>
            </w:r>
            <w:r>
              <w:instrText xml:space="preserve"> PAGEREF _Toc100065 \h </w:instrText>
            </w:r>
            <w:r>
              <w:fldChar w:fldCharType="separate"/>
            </w:r>
            <w:r>
              <w:t>23</w:t>
            </w:r>
            <w:r>
              <w:fldChar w:fldCharType="end"/>
            </w:r>
          </w:hyperlink>
        </w:p>
        <w:p>
          <w:pPr>
            <w:pStyle w:val="11"/>
            <w:ind w:left="360"/>
            <w:tabs>
              <w:tab w:val="right" w:leader="dot" w:pos="9026"/>
            </w:tabs>
            <w:spacing w:before="120" w:after="60"/>
          </w:pPr>
          <w:hyperlink w:anchor="_Toc100066" w:history="1">
            <w:r>
              <w:rPr>
                <w:rStyle w:val="Hyperlink"/>
              </w:rPr>
              <w:t>Resource Envelope</w:t>
            </w:r>
            <w:r>
              <w:tab/>
            </w:r>
            <w:r>
              <w:fldChar w:fldCharType="begin"/>
            </w:r>
            <w:r>
              <w:instrText xml:space="preserve"> PAGEREF _Toc100066 \h </w:instrText>
            </w:r>
            <w:r>
              <w:fldChar w:fldCharType="separate"/>
            </w:r>
            <w:r>
              <w:t>23</w:t>
            </w:r>
            <w:r>
              <w:fldChar w:fldCharType="end"/>
            </w:r>
          </w:hyperlink>
        </w:p>
        <w:p>
          <w:pPr>
            <w:pStyle w:val="9"/>
            <w:tabs>
              <w:tab w:val="right" w:leader="dot" w:pos="9026"/>
            </w:tabs>
            <w:spacing w:before="120" w:after="60"/>
          </w:pPr>
          <w:hyperlink w:anchor="_Toc100067" w:history="1">
            <w:r>
              <w:rPr>
                <w:rStyle w:val="Hyperlink"/>
              </w:rPr>
              <w:t>Chapter 13 — Integration with TITAN Core</w:t>
            </w:r>
            <w:r>
              <w:tab/>
            </w:r>
            <w:r>
              <w:fldChar w:fldCharType="begin"/>
            </w:r>
            <w:r>
              <w:instrText xml:space="preserve"> PAGEREF _Toc100067 \h </w:instrText>
            </w:r>
            <w:r>
              <w:fldChar w:fldCharType="separate"/>
            </w:r>
            <w:r>
              <w:t>23</w:t>
            </w:r>
            <w:r>
              <w:fldChar w:fldCharType="end"/>
            </w:r>
          </w:hyperlink>
        </w:p>
        <w:p>
          <w:pPr>
            <w:pStyle w:val="11"/>
            <w:ind w:left="360"/>
            <w:tabs>
              <w:tab w:val="right" w:leader="dot" w:pos="9026"/>
            </w:tabs>
            <w:spacing w:before="120" w:after="60"/>
          </w:pPr>
          <w:hyperlink w:anchor="_Toc100068" w:history="1">
            <w:r>
              <w:rPr>
                <w:rStyle w:val="Hyperlink"/>
              </w:rPr>
              <w:t>Strategy Coordinator Integration</w:t>
            </w:r>
            <w:r>
              <w:tab/>
            </w:r>
            <w:r>
              <w:fldChar w:fldCharType="begin"/>
            </w:r>
            <w:r>
              <w:instrText xml:space="preserve"> PAGEREF _Toc100068 \h </w:instrText>
            </w:r>
            <w:r>
              <w:fldChar w:fldCharType="separate"/>
            </w:r>
            <w:r>
              <w:t>24</w:t>
            </w:r>
            <w:r>
              <w:fldChar w:fldCharType="end"/>
            </w:r>
          </w:hyperlink>
        </w:p>
        <w:p>
          <w:pPr>
            <w:pStyle w:val="11"/>
            <w:ind w:left="360"/>
            <w:tabs>
              <w:tab w:val="right" w:leader="dot" w:pos="9026"/>
            </w:tabs>
            <w:spacing w:before="120" w:after="60"/>
          </w:pPr>
          <w:hyperlink w:anchor="_Toc100069" w:history="1">
            <w:r>
              <w:rPr>
                <w:rStyle w:val="Hyperlink"/>
              </w:rPr>
              <w:t>Risk Gate Integration</w:t>
            </w:r>
            <w:r>
              <w:tab/>
            </w:r>
            <w:r>
              <w:fldChar w:fldCharType="begin"/>
            </w:r>
            <w:r>
              <w:instrText xml:space="preserve"> PAGEREF _Toc100069 \h </w:instrText>
            </w:r>
            <w:r>
              <w:fldChar w:fldCharType="separate"/>
            </w:r>
            <w:r>
              <w:t>24</w:t>
            </w:r>
            <w:r>
              <w:fldChar w:fldCharType="end"/>
            </w:r>
          </w:hyperlink>
        </w:p>
        <w:p>
          <w:pPr>
            <w:pStyle w:val="11"/>
            <w:ind w:left="360"/>
            <w:tabs>
              <w:tab w:val="right" w:leader="dot" w:pos="9026"/>
            </w:tabs>
            <w:spacing w:before="120" w:after="60"/>
          </w:pPr>
          <w:hyperlink w:anchor="_Toc100070" w:history="1">
            <w:r>
              <w:rPr>
                <w:rStyle w:val="Hyperlink"/>
              </w:rPr>
              <w:t>Execution Engine Integration</w:t>
            </w:r>
            <w:r>
              <w:tab/>
            </w:r>
            <w:r>
              <w:fldChar w:fldCharType="begin"/>
            </w:r>
            <w:r>
              <w:instrText xml:space="preserve"> PAGEREF _Toc100070 \h </w:instrText>
            </w:r>
            <w:r>
              <w:fldChar w:fldCharType="separate"/>
            </w:r>
            <w:r>
              <w:t>24</w:t>
            </w:r>
            <w:r>
              <w:fldChar w:fldCharType="end"/>
            </w:r>
          </w:hyperlink>
        </w:p>
        <w:p>
          <w:pPr>
            <w:pStyle w:val="11"/>
            <w:ind w:left="360"/>
            <w:tabs>
              <w:tab w:val="right" w:leader="dot" w:pos="9026"/>
            </w:tabs>
            <w:spacing w:before="120" w:after="60"/>
          </w:pPr>
          <w:hyperlink w:anchor="_Toc100071" w:history="1">
            <w:r>
              <w:rPr>
                <w:rStyle w:val="Hyperlink"/>
              </w:rPr>
              <w:t>Operator Console Integration</w:t>
            </w:r>
            <w:r>
              <w:tab/>
            </w:r>
            <w:r>
              <w:fldChar w:fldCharType="begin"/>
            </w:r>
            <w:r>
              <w:instrText xml:space="preserve"> PAGEREF _Toc100071 \h </w:instrText>
            </w:r>
            <w:r>
              <w:fldChar w:fldCharType="separate"/>
            </w:r>
            <w:r>
              <w:t>24</w:t>
            </w:r>
            <w:r>
              <w:fldChar w:fldCharType="end"/>
            </w:r>
          </w:hyperlink>
        </w:p>
        <w:p>
          <w:pPr>
            <w:pStyle w:val="9"/>
            <w:tabs>
              <w:tab w:val="right" w:leader="dot" w:pos="9026"/>
            </w:tabs>
            <w:spacing w:before="120" w:after="60"/>
          </w:pPr>
          <w:hyperlink w:anchor="_Toc100072" w:history="1">
            <w:r>
              <w:rPr>
                <w:rStyle w:val="Hyperlink"/>
              </w:rPr>
              <w:t>Appendix A — Feature Engineering Formulas</w:t>
            </w:r>
            <w:r>
              <w:tab/>
            </w:r>
            <w:r>
              <w:fldChar w:fldCharType="begin"/>
            </w:r>
            <w:r>
              <w:instrText xml:space="preserve"> PAGEREF _Toc100072 \h </w:instrText>
            </w:r>
            <w:r>
              <w:fldChar w:fldCharType="separate"/>
            </w:r>
            <w:r>
              <w:t>25</w:t>
            </w:r>
            <w:r>
              <w:fldChar w:fldCharType="end"/>
            </w:r>
          </w:hyperlink>
        </w:p>
        <w:p>
          <w:pPr>
            <w:pStyle w:val="11"/>
            <w:ind w:left="360"/>
            <w:tabs>
              <w:tab w:val="right" w:leader="dot" w:pos="9026"/>
            </w:tabs>
            <w:spacing w:before="120" w:after="60"/>
          </w:pPr>
          <w:hyperlink w:anchor="_Toc100073" w:history="1">
            <w:r>
              <w:rPr>
                <w:rStyle w:val="Hyperlink"/>
              </w:rPr>
              <w:t>F1 — ADX (Average Directional Index)</w:t>
            </w:r>
            <w:r>
              <w:tab/>
            </w:r>
            <w:r>
              <w:fldChar w:fldCharType="begin"/>
            </w:r>
            <w:r>
              <w:instrText xml:space="preserve"> PAGEREF _Toc100073 \h </w:instrText>
            </w:r>
            <w:r>
              <w:fldChar w:fldCharType="separate"/>
            </w:r>
            <w:r>
              <w:t>25</w:t>
            </w:r>
            <w:r>
              <w:fldChar w:fldCharType="end"/>
            </w:r>
          </w:hyperlink>
        </w:p>
        <w:p>
          <w:pPr>
            <w:pStyle w:val="11"/>
            <w:ind w:left="360"/>
            <w:tabs>
              <w:tab w:val="right" w:leader="dot" w:pos="9026"/>
            </w:tabs>
            <w:spacing w:before="120" w:after="60"/>
          </w:pPr>
          <w:hyperlink w:anchor="_Toc100074" w:history="1">
            <w:r>
              <w:rPr>
                <w:rStyle w:val="Hyperlink"/>
              </w:rPr>
              <w:t>F2 — ATR (Normalized)</w:t>
            </w:r>
            <w:r>
              <w:tab/>
            </w:r>
            <w:r>
              <w:fldChar w:fldCharType="begin"/>
            </w:r>
            <w:r>
              <w:instrText xml:space="preserve"> PAGEREF _Toc100074 \h </w:instrText>
            </w:r>
            <w:r>
              <w:fldChar w:fldCharType="separate"/>
            </w:r>
            <w:r>
              <w:t>25</w:t>
            </w:r>
            <w:r>
              <w:fldChar w:fldCharType="end"/>
            </w:r>
          </w:hyperlink>
        </w:p>
        <w:p>
          <w:pPr>
            <w:pStyle w:val="11"/>
            <w:ind w:left="360"/>
            <w:tabs>
              <w:tab w:val="right" w:leader="dot" w:pos="9026"/>
            </w:tabs>
            <w:spacing w:before="120" w:after="60"/>
          </w:pPr>
          <w:hyperlink w:anchor="_Toc100075" w:history="1">
            <w:r>
              <w:rPr>
                <w:rStyle w:val="Hyperlink"/>
              </w:rPr>
              <w:t>F3 — EMA Slope</w:t>
            </w:r>
            <w:r>
              <w:tab/>
            </w:r>
            <w:r>
              <w:fldChar w:fldCharType="begin"/>
            </w:r>
            <w:r>
              <w:instrText xml:space="preserve"> PAGEREF _Toc100075 \h </w:instrText>
            </w:r>
            <w:r>
              <w:fldChar w:fldCharType="separate"/>
            </w:r>
            <w:r>
              <w:t>25</w:t>
            </w:r>
            <w:r>
              <w:fldChar w:fldCharType="end"/>
            </w:r>
          </w:hyperlink>
        </w:p>
        <w:p>
          <w:pPr>
            <w:pStyle w:val="11"/>
            <w:ind w:left="360"/>
            <w:tabs>
              <w:tab w:val="right" w:leader="dot" w:pos="9026"/>
            </w:tabs>
            <w:spacing w:before="120" w:after="60"/>
          </w:pPr>
          <w:hyperlink w:anchor="_Toc100076" w:history="1">
            <w:r>
              <w:rPr>
                <w:rStyle w:val="Hyperlink"/>
              </w:rPr>
              <w:t>F4 — Hurst Exponent (R/S Analysis)</w:t>
            </w:r>
            <w:r>
              <w:tab/>
            </w:r>
            <w:r>
              <w:fldChar w:fldCharType="begin"/>
            </w:r>
            <w:r>
              <w:instrText xml:space="preserve"> PAGEREF _Toc100076 \h </w:instrText>
            </w:r>
            <w:r>
              <w:fldChar w:fldCharType="separate"/>
            </w:r>
            <w:r>
              <w:t>26</w:t>
            </w:r>
            <w:r>
              <w:fldChar w:fldCharType="end"/>
            </w:r>
          </w:hyperlink>
        </w:p>
        <w:p>
          <w:pPr>
            <w:pStyle w:val="11"/>
            <w:ind w:left="360"/>
            <w:tabs>
              <w:tab w:val="right" w:leader="dot" w:pos="9026"/>
            </w:tabs>
            <w:spacing w:before="120" w:after="60"/>
          </w:pPr>
          <w:hyperlink w:anchor="_Toc100077" w:history="1">
            <w:r>
              <w:rPr>
                <w:rStyle w:val="Hyperlink"/>
              </w:rPr>
              <w:t>F5 — Bollinger Width</w:t>
            </w:r>
            <w:r>
              <w:tab/>
            </w:r>
            <w:r>
              <w:fldChar w:fldCharType="begin"/>
            </w:r>
            <w:r>
              <w:instrText xml:space="preserve"> PAGEREF _Toc100077 \h </w:instrText>
            </w:r>
            <w:r>
              <w:fldChar w:fldCharType="separate"/>
            </w:r>
            <w:r>
              <w:t>26</w:t>
            </w:r>
            <w:r>
              <w:fldChar w:fldCharType="end"/>
            </w:r>
          </w:hyperlink>
        </w:p>
        <w:p>
          <w:pPr>
            <w:pStyle w:val="11"/>
            <w:ind w:left="360"/>
            <w:tabs>
              <w:tab w:val="right" w:leader="dot" w:pos="9026"/>
            </w:tabs>
            <w:spacing w:before="120" w:after="60"/>
          </w:pPr>
          <w:hyperlink w:anchor="_Toc100078" w:history="1">
            <w:r>
              <w:rPr>
                <w:rStyle w:val="Hyperlink"/>
              </w:rPr>
              <w:t>F6 — Realized Volatility</w:t>
            </w:r>
            <w:r>
              <w:tab/>
            </w:r>
            <w:r>
              <w:fldChar w:fldCharType="begin"/>
            </w:r>
            <w:r>
              <w:instrText xml:space="preserve"> PAGEREF _Toc100078 \h </w:instrText>
            </w:r>
            <w:r>
              <w:fldChar w:fldCharType="separate"/>
            </w:r>
            <w:r>
              <w:t>26</w:t>
            </w:r>
            <w:r>
              <w:fldChar w:fldCharType="end"/>
            </w:r>
          </w:hyperlink>
        </w:p>
        <w:p>
          <w:pPr>
            <w:pStyle w:val="11"/>
            <w:ind w:left="360"/>
            <w:tabs>
              <w:tab w:val="right" w:leader="dot" w:pos="9026"/>
            </w:tabs>
            <w:spacing w:before="120" w:after="60"/>
          </w:pPr>
          <w:hyperlink w:anchor="_Toc100079" w:history="1">
            <w:r>
              <w:rPr>
                <w:rStyle w:val="Hyperlink"/>
              </w:rPr>
              <w:t>F7 — Volume Analysis (Composite)</w:t>
            </w:r>
            <w:r>
              <w:tab/>
            </w:r>
            <w:r>
              <w:fldChar w:fldCharType="begin"/>
            </w:r>
            <w:r>
              <w:instrText xml:space="preserve"> PAGEREF _Toc100079 \h </w:instrText>
            </w:r>
            <w:r>
              <w:fldChar w:fldCharType="separate"/>
            </w:r>
            <w:r>
              <w:t>26</w:t>
            </w:r>
            <w:r>
              <w:fldChar w:fldCharType="end"/>
            </w:r>
          </w:hyperlink>
        </w:p>
        <w:p>
          <w:pPr>
            <w:pStyle w:val="11"/>
            <w:ind w:left="360"/>
            <w:tabs>
              <w:tab w:val="right" w:leader="dot" w:pos="9026"/>
            </w:tabs>
            <w:spacing w:before="120" w:after="60"/>
          </w:pPr>
          <w:hyperlink w:anchor="_Toc100080" w:history="1">
            <w:r>
              <w:rPr>
                <w:rStyle w:val="Hyperlink"/>
              </w:rPr>
              <w:t>F8 — News Sentiment (Composite)</w:t>
            </w:r>
            <w:r>
              <w:tab/>
            </w:r>
            <w:r>
              <w:fldChar w:fldCharType="begin"/>
            </w:r>
            <w:r>
              <w:instrText xml:space="preserve"> PAGEREF _Toc100080 \h </w:instrText>
            </w:r>
            <w:r>
              <w:fldChar w:fldCharType="separate"/>
            </w:r>
            <w:r>
              <w:t>27</w:t>
            </w:r>
            <w:r>
              <w:fldChar w:fldCharType="end"/>
            </w:r>
          </w:hyperlink>
        </w:p>
        <w:p>
          <w:pPr>
            <w:pStyle w:val="9"/>
            <w:tabs>
              <w:tab w:val="right" w:leader="dot" w:pos="9026"/>
            </w:tabs>
            <w:spacing w:before="120" w:after="60"/>
          </w:pPr>
          <w:hyperlink w:anchor="_Toc100081" w:history="1">
            <w:r>
              <w:rPr>
                <w:rStyle w:val="Hyperlink"/>
              </w:rPr>
              <w:t>Appendix B — Sample Regime Output</w:t>
            </w:r>
            <w:r>
              <w:tab/>
            </w:r>
            <w:r>
              <w:fldChar w:fldCharType="begin"/>
            </w:r>
            <w:r>
              <w:instrText xml:space="preserve"> PAGEREF _Toc100081 \h </w:instrText>
            </w:r>
            <w:r>
              <w:fldChar w:fldCharType="separate"/>
            </w:r>
            <w:r>
              <w:t>27</w:t>
            </w:r>
            <w:r>
              <w:fldChar w:fldCharType="end"/>
            </w:r>
          </w:hyperlink>
        </w:p>
        <w:p>
          <w:pPr>
            <w:pStyle w:val="11"/>
            <w:ind w:left="360"/>
            <w:tabs>
              <w:tab w:val="right" w:leader="dot" w:pos="9026"/>
            </w:tabs>
            <w:spacing w:before="120" w:after="60"/>
          </w:pPr>
          <w:hyperlink w:anchor="_Toc100082" w:history="1">
            <w:r>
              <w:rPr>
                <w:rStyle w:val="Hyperlink"/>
              </w:rPr>
              <w:t>B.1 High-Confidence TREND Detection</w:t>
            </w:r>
            <w:r>
              <w:tab/>
            </w:r>
            <w:r>
              <w:fldChar w:fldCharType="begin"/>
            </w:r>
            <w:r>
              <w:instrText xml:space="preserve"> PAGEREF _Toc100082 \h </w:instrText>
            </w:r>
            <w:r>
              <w:fldChar w:fldCharType="separate"/>
            </w:r>
            <w:r>
              <w:t>27</w:t>
            </w:r>
            <w:r>
              <w:fldChar w:fldCharType="end"/>
            </w:r>
          </w:hyperlink>
        </w:p>
        <w:p>
          <w:pPr>
            <w:pStyle w:val="11"/>
            <w:ind w:left="360"/>
            <w:tabs>
              <w:tab w:val="right" w:leader="dot" w:pos="9026"/>
            </w:tabs>
            <w:spacing w:before="120" w:after="60"/>
          </w:pPr>
          <w:hyperlink w:anchor="_Toc100083" w:history="1">
            <w:r>
              <w:rPr>
                <w:rStyle w:val="Hyperlink"/>
              </w:rPr>
              <w:t>B.2 Ambiguous RANGE/VOLATILE (Low Confidence)</w:t>
            </w:r>
            <w:r>
              <w:tab/>
            </w:r>
            <w:r>
              <w:fldChar w:fldCharType="begin"/>
            </w:r>
            <w:r>
              <w:instrText xml:space="preserve"> PAGEREF _Toc100083 \h </w:instrText>
            </w:r>
            <w:r>
              <w:fldChar w:fldCharType="separate"/>
            </w:r>
            <w:r>
              <w:t>27</w:t>
            </w:r>
            <w:r>
              <w:fldChar w:fldCharType="end"/>
            </w:r>
          </w:hyperlink>
        </w:p>
        <w:p>
          <w:pPr>
            <w:pStyle w:val="11"/>
            <w:ind w:left="360"/>
            <w:tabs>
              <w:tab w:val="right" w:leader="dot" w:pos="9026"/>
            </w:tabs>
            <w:spacing w:before="120" w:after="60"/>
          </w:pPr>
          <w:hyperlink w:anchor="_Toc100084" w:history="1">
            <w:r>
              <w:rPr>
                <w:rStyle w:val="Hyperlink"/>
              </w:rPr>
              <w:t>B.3 NEWS Override (Rules Veto)</w:t>
            </w:r>
            <w:r>
              <w:tab/>
            </w:r>
            <w:r>
              <w:fldChar w:fldCharType="begin"/>
            </w:r>
            <w:r>
              <w:instrText xml:space="preserve"> PAGEREF _Toc100084 \h </w:instrText>
            </w:r>
            <w:r>
              <w:fldChar w:fldCharType="separate"/>
            </w:r>
            <w:r>
              <w:t>28</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Adaptive Regime Detection System (ARDS) is Module 4 of the TITAN XAU AI trading architecture. Its role is to classify the current market state into one of four regimes — TREND, RANGE, VOLATILE, or NEWS — and to publish that classification along with three scoring vectors (confidence, probability distribution, and explainability) to the Strategy Coordinator, which uses the regime label to gate strategy activation, scale position size, and select appropriate risk parameters. The ARDS is the system's market-state awareness: without it, strategies would operate blindly across all market conditions, leading to poor performance when conditions do not match the strategy's design assumptions.</w:t>
      </w:r>
    </w:p>
    <w:p>
      <w:pPr>
        <w:spacing w:after="160" w:line="312"/>
        <w:jc w:val="both"/>
      </w:pPr>
      <w:r>
        <w:rPr>
          <w:rFonts w:ascii="Liberation Serif" w:cs="Liberation Serif" w:eastAsia="Liberation Serif" w:hAnsi="Liberation Serif"/>
          <w:color w:val="14213D"/>
          <w:sz w:val="22"/>
          <w:szCs w:val="22"/>
        </w:rPr>
        <w:t xml:space="preserve">The system uses a three-model ensemble to produce its classification: a Gaussian Hidden Markov Model (HMM) for temporal smoothing and persistence, a LightGBM gradient-boosted tree classifier for raw predictive accuracy, and a deterministic Rules Engine for human-interpretable overrides and news-event handling. The three models vote with weights 0.30, 0.50, and 0.20 respectively, with the Rules Engine retaining veto power to enforce news-blackout overrides. The ensemble produces a final RegimeLabel plus three scoring vectors that allow downstream consumers to assess the reliability of the classification.</w:t>
      </w:r>
    </w:p>
    <w:p>
      <w:pPr>
        <w:spacing w:after="160" w:line="312"/>
        <w:jc w:val="both"/>
      </w:pPr>
      <w:r>
        <w:rPr>
          <w:rFonts w:ascii="Liberation Serif" w:cs="Liberation Serif" w:eastAsia="Liberation Serif" w:hAnsi="Liberation Serif"/>
          <w:color w:val="14213D"/>
          <w:sz w:val="22"/>
          <w:szCs w:val="22"/>
        </w:rPr>
        <w:t xml:space="preserve">Feature engineering is the foundation of the ARDS. Seven engineered features capture the distinctive signatures of each regime: ADX (trend strength), ATR (volatility units), EMA Slope (trend direction), Hurst Exponent (persistence vs mean-reversion), Bollinger Width (volatility expansion vs contraction), Realized Volatility (annualized σ), Volume Analysis (tick volume + OBV + VWAP deviation), and News Sentiment (proximity + impact + surprise + NLP score). All features are normalized via rolling z-score with winsorization at the 1%/99% percentiles to handle outliers, and re-computed per session to handle inter-session drift.</w:t>
      </w:r>
    </w:p>
    <w:p>
      <w:pPr>
        <w:spacing w:after="160" w:line="312"/>
        <w:jc w:val="both"/>
      </w:pPr>
      <w:r>
        <w:rPr>
          <w:rFonts w:ascii="Liberation Serif" w:cs="Liberation Serif" w:eastAsia="Liberation Serif" w:hAnsi="Liberation Serif"/>
          <w:color w:val="14213D"/>
          <w:sz w:val="22"/>
          <w:szCs w:val="22"/>
        </w:rPr>
        <w:t xml:space="preserve">False positive control is a first-class concern. A spurious regime flip (e.g., classifying a single volatile bar within a trend as VOLATILE) can cause the Strategy Coordinator to switch strategies inappropriately, leading to position churn and transaction cost drag. The ARDS deploys six layered controls — HysteresisGate, ConfirmationFilter, StabilityFilter, BootstrapValidator, CrossTimeframeAgreement, and NewsOverrideException — that reduce the empirical false-positive rate from 38% (raw ensemble) to under 8% (post-controls). The controls are designed to fail safe: only the NewsOverrideException can bypass them, and only for the safety-critical NEWS regime.</w:t>
      </w:r>
    </w:p>
    <w:p>
      <w:pPr>
        <w:spacing w:after="160" w:line="312"/>
        <w:jc w:val="both"/>
      </w:pPr>
      <w:r>
        <w:rPr>
          <w:rFonts w:ascii="Liberation Serif" w:cs="Liberation Serif" w:eastAsia="Liberation Serif" w:hAnsi="Liberation Serif"/>
          <w:color w:val="14213D"/>
          <w:sz w:val="22"/>
          <w:szCs w:val="22"/>
        </w:rPr>
        <w:t xml:space="preserve">This document specifies the complete architecture, feature engineering pipeline, ensemble model design, scoring outputs, validation framework, false positive controls, and backtest framework for the ARDS. It is the authoritative reference for engineers maintaining the system and for quant researchers developing new features or models.</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Problem Domain — Why Regime Detection Matters</w:t>
      </w:r>
      <w:bookmarkEnd w:id="100001"/>
    </w:p>
    <w:p>
      <w:pPr>
        <w:spacing w:after="160" w:line="312"/>
        <w:jc w:val="both"/>
      </w:pPr>
      <w:r>
        <w:rPr>
          <w:rFonts w:ascii="Liberation Serif" w:cs="Liberation Serif" w:eastAsia="Liberation Serif" w:hAnsi="Liberation Serif"/>
          <w:color w:val="14213D"/>
          <w:sz w:val="22"/>
          <w:szCs w:val="22"/>
        </w:rPr>
        <w:t xml:space="preserve">XAUUSD exhibits dramatically different behavior across market regimes. During trends, price moves directionally with low noise, and momentum strategies generate alpha. During ranges, price oscillates within a band, and mean-reversion strategies generate alpha. During volatility spikes, position sizing must be reduced and stops widened to avoid whipsaw losses. During news events, spreads widen by 5-10x and slippage can exceed 50 basis points, making it dangerous to hold open positions or place new market orders. A trading system that does not detect and adapt to these regime changes will apply the wrong strategy to the wrong market, generating losses instead of alpha.</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The Cost of Regime Misclassification</w:t>
      </w:r>
      <w:bookmarkEnd w:id="100002"/>
    </w:p>
    <w:p>
      <w:pPr>
        <w:spacing w:after="160" w:line="312"/>
        <w:jc w:val="both"/>
      </w:pPr>
      <w:r>
        <w:rPr>
          <w:rFonts w:ascii="Liberation Serif" w:cs="Liberation Serif" w:eastAsia="Liberation Serif" w:hAnsi="Liberation Serif"/>
          <w:color w:val="14213D"/>
          <w:sz w:val="22"/>
          <w:szCs w:val="22"/>
        </w:rPr>
        <w:t xml:space="preserve">The cost of regime misclassification is asymmetric and regime-dependent. Misclassifying TREND as RANGE causes the system to apply mean reversion in a trending market, generating consecutive losses as the strategy fades a persistent move. Misclassifying RANGE as TREND causes the system to apply momentum in a range, generating whipsaw losses as the strategy buys breakouts that immediately reverse. Misclassifying VOLATILE as RANGE causes the system to use tight stops that get stopped out by normal volatility, generating death-by-a-thousand-cuts. Misclassifying NEWS as anything other than NEWS can be catastrophic — spreads can widen by 100+ basis points in seconds, and slippage on market orders can exceed 1% of notional.</w:t>
      </w:r>
    </w:p>
    <w:p>
      <w:pPr>
        <w:spacing w:after="160" w:line="312"/>
        <w:jc w:val="both"/>
      </w:pPr>
      <w:r>
        <w:rPr>
          <w:rFonts w:ascii="Liberation Serif" w:cs="Liberation Serif" w:eastAsia="Liberation Serif" w:hAnsi="Liberation Serif"/>
          <w:color w:val="14213D"/>
          <w:sz w:val="22"/>
          <w:szCs w:val="22"/>
        </w:rPr>
        <w:t xml:space="preserve">The asymmetry of these costs drives several design decisions. First, the NEWS regime has veto power over the ensemble — if the Rules Engine detects a news event, the regime is NEWS regardless of what the ML models say. Second, the system is biased toward conservative classification: when uncertain, it defaults to VOLATILE (reducing position size) rather than to TREND or RANGE (which would activate a strategy). Third, false positive controls are biased toward stability — the system prefers to maintain the current regime label through brief ambiguous periods rather than flip-flip between regimes.</w:t>
      </w:r>
    </w:p>
    <w:p>
      <w:pPr>
        <w:pStyle w:val="Heading2"/>
        <w:spacing w:after="160" w:before="320"/>
      </w:pPr>
      <w:bookmarkStart w:id="100003" w:name="_Toc100003"/>
      <w:r>
        <w:rPr>
          <w:rFonts w:ascii="Liberation Serif" w:cs="Liberation Serif" w:eastAsia="Liberation Serif" w:hAnsi="Liberation Serif"/>
          <w:b/>
          <w:bCs/>
          <w:color w:val="14213D"/>
          <w:sz w:val="28"/>
          <w:szCs w:val="28"/>
        </w:rPr>
        <w:t xml:space="preserve">Regime Definitions</w:t>
      </w:r>
      <w:bookmarkEnd w:id="100003"/>
    </w:p>
    <w:p>
      <w:pPr>
        <w:spacing w:after="160" w:line="312"/>
        <w:jc w:val="both"/>
      </w:pPr>
      <w:r>
        <w:rPr>
          <w:rFonts w:ascii="Liberation Serif" w:cs="Liberation Serif" w:eastAsia="Liberation Serif" w:hAnsi="Liberation Serif"/>
          <w:color w:val="14213D"/>
          <w:sz w:val="22"/>
          <w:szCs w:val="22"/>
        </w:rPr>
        <w:t xml:space="preserve">The four regimes are defined by a combination of statistical properties and behavioral characteristics. These definitions are the basis for both the feature engineering (which measures the properties) and the labeling of training data (which assigns ground-truth regime labels for supervised learning).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TREND: ADX &gt; 25 sustained, EMA slope consistent in direction, Hurst exponent &gt; 0.55, price making higher highs and higher lows (uptrend) or lower highs and lower lows (downtrend). Momentum strategies generate alpha.</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RANGE: ADX &lt; 20, Bollinger Width in bottom 30th percentile of 252-bar window, Hurst exponent &lt; 0.45, price oscillating within a horizontal band. Mean reversion strategies generate alpha.</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VOLATILE: ATR &gt; 2σ above 50-bar mean, Bollinger Width expanding rapidly, realized vol &gt; 1.5× baseline, price making large bi-directional moves. Position sizing must be reduced; wide stops required.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NEWS: Scheduled economic event (FOMC, NFP, CPI, etc.) within ±15 minutes, OR unexpected geopolitical event with high impact. Spreads widen, slippage spikes, normal market microstructure breaks down. Trading should be paused or hedged.</w:t>
      </w:r>
    </w:p>
    <w:p>
      <w:pPr>
        <w:pStyle w:val="Heading1"/>
        <w:pageBreakBefore/>
        <w:pBdr>
          <w:bottom w:val="single" w:color="C8102E" w:sz="18" w:space="4"/>
        </w:pBdr>
        <w:spacing w:after="240" w:before="480"/>
      </w:pPr>
      <w:bookmarkStart w:id="100004" w:name="_Toc100004"/>
      <w:r>
        <w:rPr>
          <w:rFonts w:ascii="Liberation Serif" w:cs="Liberation Serif" w:eastAsia="Liberation Serif" w:hAnsi="Liberation Serif"/>
          <w:b/>
          <w:bCs/>
          <w:color w:val="14213D"/>
          <w:sz w:val="40"/>
          <w:szCs w:val="40"/>
        </w:rPr>
        <w:t xml:space="preserve">Chapter 3 — Architecture Overview</w:t>
      </w:r>
      <w:bookmarkEnd w:id="100004"/>
    </w:p>
    <w:p>
      <w:pPr>
        <w:spacing w:after="160" w:line="312"/>
        <w:jc w:val="both"/>
      </w:pPr>
      <w:r>
        <w:rPr>
          <w:rFonts w:ascii="Liberation Serif" w:cs="Liberation Serif" w:eastAsia="Liberation Serif" w:hAnsi="Liberation Serif"/>
          <w:color w:val="14213D"/>
          <w:sz w:val="22"/>
          <w:szCs w:val="22"/>
        </w:rPr>
        <w:t xml:space="preserve">The ARDS is organized into six logical layers: ingest (data acquisition), feature engineering (raw data → normalized features), model (3-model ensemble), scoring (confidence/probability/explainability), publication (event bus + audit), and false positive controls (layered defense against spurious flips). A strict layering rule ensures that the hot path (feature engineering + model) has no dependency on the slower layers (scoring, publication), which run asynchronously and communicate via SPSC queues.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Adaptive Regime Detection System internal architecture, showing six layers and ~20 components.</w:t>
      </w:r>
    </w:p>
    <w:p>
      <w:pPr>
        <w:pStyle w:val="Heading2"/>
        <w:spacing w:after="160" w:before="320"/>
      </w:pPr>
      <w:bookmarkStart w:id="100005" w:name="_Toc100005"/>
      <w:r>
        <w:rPr>
          <w:rFonts w:ascii="Liberation Serif" w:cs="Liberation Serif" w:eastAsia="Liberation Serif" w:hAnsi="Liberation Serif"/>
          <w:b/>
          <w:bCs/>
          <w:color w:val="14213D"/>
          <w:sz w:val="28"/>
          <w:szCs w:val="28"/>
        </w:rPr>
        <w:t xml:space="preserve">Layer Responsibilities</w:t>
      </w:r>
      <w:bookmarkEnd w:id="100005"/>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L1 — Ingest</w:t>
      </w:r>
      <w:bookmarkEnd w:id="100006"/>
    </w:p>
    <w:p>
      <w:pPr>
        <w:spacing w:after="160" w:line="312"/>
        <w:jc w:val="both"/>
      </w:pPr>
      <w:r>
        <w:rPr>
          <w:rFonts w:ascii="Liberation Serif" w:cs="Liberation Serif" w:eastAsia="Liberation Serif" w:hAnsi="Liberation Serif"/>
          <w:color w:val="14213D"/>
          <w:sz w:val="22"/>
          <w:szCs w:val="22"/>
        </w:rPr>
        <w:t xml:space="preserve">The ingest layer acquires raw market data and news events. BarAggregator builds OHLCV bars at M1/M5/M15/H1 timeframes from the tick stream, maintaining a 100,000-bar ring buffer per timeframe. TickBuffer holds a 1-million-tick ring buffer for intrabar feature computation. NewsEventBuffer maintains scheduled events ±24 hours with impact tier (High/Medium/Low) and actual-vs-forecast surprise. SessionCalendar tags each bar with its trading session (Asia/EU/US/overlap) for session-aware model retraining.</w:t>
      </w:r>
    </w:p>
    <w:p>
      <w:pPr>
        <w:pStyle w:val="Heading3"/>
        <w:spacing w:after="120" w:before="240"/>
      </w:pPr>
      <w:bookmarkStart w:id="100007" w:name="_Toc100007"/>
      <w:r>
        <w:rPr>
          <w:rFonts w:ascii="Liberation Serif" w:cs="Liberation Serif" w:eastAsia="Liberation Serif" w:hAnsi="Liberation Serif"/>
          <w:b/>
          <w:bCs/>
          <w:color w:val="C8102E"/>
          <w:sz w:val="24"/>
          <w:szCs w:val="24"/>
        </w:rPr>
        <w:t xml:space="preserve">L2 — Feature Engineering</w:t>
      </w:r>
      <w:bookmarkEnd w:id="100007"/>
    </w:p>
    <w:p>
      <w:pPr>
        <w:spacing w:after="160" w:line="312"/>
        <w:jc w:val="both"/>
      </w:pPr>
      <w:r>
        <w:rPr>
          <w:rFonts w:ascii="Liberation Serif" w:cs="Liberation Serif" w:eastAsia="Liberation Serif" w:hAnsi="Liberation Serif"/>
          <w:color w:val="14213D"/>
          <w:sz w:val="22"/>
          <w:szCs w:val="22"/>
        </w:rPr>
        <w:t xml:space="preserve">The feature engineering layer computes 7 engineered features (plus the News Sentiment composite) from raw market data. Each feature has a dedicated engine that updates incrementally on each bar close, avoiding full recomputation. The FeatureNormalizer applies rolling z-score normalization (252-bar window) with 1%/99% winsorization, re-computed per session to handle inter-session drift. The output is an 8-dimensional normalized feature vector consumed by the model layer.</w:t>
      </w:r>
    </w:p>
    <w:p>
      <w:pPr>
        <w:pStyle w:val="Heading3"/>
        <w:spacing w:after="120" w:before="240"/>
      </w:pPr>
      <w:bookmarkStart w:id="100008" w:name="_Toc100008"/>
      <w:r>
        <w:rPr>
          <w:rFonts w:ascii="Liberation Serif" w:cs="Liberation Serif" w:eastAsia="Liberation Serif" w:hAnsi="Liberation Serif"/>
          <w:b/>
          <w:bCs/>
          <w:color w:val="C8102E"/>
          <w:sz w:val="24"/>
          <w:szCs w:val="24"/>
        </w:rPr>
        <w:t xml:space="preserve">L3 — Model (3-Model Ensemble)</w:t>
      </w:r>
      <w:bookmarkEnd w:id="100008"/>
    </w:p>
    <w:p>
      <w:pPr>
        <w:spacing w:after="160" w:line="312"/>
        <w:jc w:val="both"/>
      </w:pPr>
      <w:r>
        <w:rPr>
          <w:rFonts w:ascii="Liberation Serif" w:cs="Liberation Serif" w:eastAsia="Liberation Serif" w:hAnsi="Liberation Serif"/>
          <w:color w:val="14213D"/>
          <w:sz w:val="22"/>
          <w:szCs w:val="22"/>
        </w:rPr>
        <w:t xml:space="preserve">The model layer runs three classifiers in parallel: a 3-state Gaussian HMM (provides temporal smoothing and persistence), a LightGBM 4-class softmax classifier (provides maximum accuracy and SHAP explainability), and a deterministic Rules Engine (provides human-interpretable overrides and news veto). The three models vote with weights 0.30, 0.50, and 0.20 respectively. The Rules Engine has veto power: if it emits NEWS, the ensemble output is NEWS regardless of the other models' votes.</w:t>
      </w:r>
    </w:p>
    <w:p>
      <w:pPr>
        <w:pStyle w:val="Heading3"/>
        <w:spacing w:after="120" w:before="240"/>
      </w:pPr>
      <w:bookmarkStart w:id="100009" w:name="_Toc100009"/>
      <w:r>
        <w:rPr>
          <w:rFonts w:ascii="Liberation Serif" w:cs="Liberation Serif" w:eastAsia="Liberation Serif" w:hAnsi="Liberation Serif"/>
          <w:b/>
          <w:bCs/>
          <w:color w:val="C8102E"/>
          <w:sz w:val="24"/>
          <w:szCs w:val="24"/>
        </w:rPr>
        <w:t xml:space="preserve">L4 — Scoring</w:t>
      </w:r>
      <w:bookmarkEnd w:id="100009"/>
    </w:p>
    <w:p>
      <w:pPr>
        <w:spacing w:after="160" w:line="312"/>
        <w:jc w:val="both"/>
      </w:pPr>
      <w:r>
        <w:rPr>
          <w:rFonts w:ascii="Liberation Serif" w:cs="Liberation Serif" w:eastAsia="Liberation Serif" w:hAnsi="Liberation Serif"/>
          <w:color w:val="14213D"/>
          <w:sz w:val="22"/>
          <w:szCs w:val="22"/>
        </w:rPr>
        <w:t xml:space="preserve">The scoring layer produces three output vectors alongside the final RegimeLabel. ConfidenceScorer measures inter-model agreement (1.0 = unanimous, 0.33 = 1-of-3 agree). ProbabilityScorer averages the LightGBM softmax and HMM posteriors into a 4-vector probability distribution over regimes. ExplainabilityScorer computes the concentration of SHAP values on the top-3 features (1.0 = top-3 explain everything, 0.5 = diffuse contribution). These three scores allow downstream consumers to assess the reliability of the classification and act accordingly.</w:t>
      </w:r>
    </w:p>
    <w:p>
      <w:pPr>
        <w:pStyle w:val="Heading3"/>
        <w:spacing w:after="120" w:before="240"/>
      </w:pPr>
      <w:bookmarkStart w:id="100010" w:name="_Toc100010"/>
      <w:r>
        <w:rPr>
          <w:rFonts w:ascii="Liberation Serif" w:cs="Liberation Serif" w:eastAsia="Liberation Serif" w:hAnsi="Liberation Serif"/>
          <w:b/>
          <w:bCs/>
          <w:color w:val="C8102E"/>
          <w:sz w:val="24"/>
          <w:szCs w:val="24"/>
        </w:rPr>
        <w:t xml:space="preserve">L5 — Publication &amp; Observability</w:t>
      </w:r>
      <w:bookmarkEnd w:id="100010"/>
    </w:p>
    <w:p>
      <w:pPr>
        <w:spacing w:after="160" w:line="312"/>
        <w:jc w:val="both"/>
      </w:pPr>
      <w:r>
        <w:rPr>
          <w:rFonts w:ascii="Liberation Serif" w:cs="Liberation Serif" w:eastAsia="Liberation Serif" w:hAnsi="Liberation Serif"/>
          <w:color w:val="14213D"/>
          <w:sz w:val="22"/>
          <w:szCs w:val="22"/>
        </w:rPr>
        <w:t xml:space="preserve">The publication layer emits the RegimeOutput (label + 3 scores + top-3 features + timestamp) on the ZMQ event bus at every bar close. The StabilityFilter enforces a minimum dwell time of 3 bars and hysteresis on probability to prevent regime flapping. The AuditLogger records every prediction (including features, model outputs, and SHAP values) to the immutable hash-chained audit store, enabling post-hoc analysis and regulatory compliance.</w:t>
      </w:r>
    </w:p>
    <w:p>
      <w:pPr>
        <w:pStyle w:val="Heading3"/>
        <w:spacing w:after="120" w:before="240"/>
      </w:pPr>
      <w:bookmarkStart w:id="100011" w:name="_Toc100011"/>
      <w:r>
        <w:rPr>
          <w:rFonts w:ascii="Liberation Serif" w:cs="Liberation Serif" w:eastAsia="Liberation Serif" w:hAnsi="Liberation Serif"/>
          <w:b/>
          <w:bCs/>
          <w:color w:val="C8102E"/>
          <w:sz w:val="24"/>
          <w:szCs w:val="24"/>
        </w:rPr>
        <w:t xml:space="preserve">L6 — False Positive Controls</w:t>
      </w:r>
      <w:bookmarkEnd w:id="100011"/>
    </w:p>
    <w:p>
      <w:pPr>
        <w:spacing w:after="160" w:line="312"/>
        <w:jc w:val="both"/>
      </w:pPr>
      <w:r>
        <w:rPr>
          <w:rFonts w:ascii="Liberation Serif" w:cs="Liberation Serif" w:eastAsia="Liberation Serif" w:hAnsi="Liberation Serif"/>
          <w:color w:val="14213D"/>
          <w:sz w:val="22"/>
          <w:szCs w:val="22"/>
        </w:rPr>
        <w:t xml:space="preserve">The false positive controls layer applies six sequential filters to the raw ensemble output before it is published: HysteresisGate (asymmetric enter/exit thresholds), ConfirmationFilter (require 3 consecutive bars), StabilityFilter (min 5-bar dwell), BootstrapValidator (CI width check), CrossTimeframeAgreement (2-of-3 across M5/M15/H1), and NewsOverrideException (Rules veto bypasses all controls). These controls reduce the empirical false-positive rate from 38% to under 8%.</w:t>
      </w:r>
    </w:p>
    <w:p>
      <w:pPr>
        <w:pStyle w:val="Heading1"/>
        <w:pageBreakBefore/>
        <w:pBdr>
          <w:bottom w:val="single" w:color="C8102E" w:sz="18" w:space="4"/>
        </w:pBdr>
        <w:spacing w:after="240" w:before="480"/>
      </w:pPr>
      <w:bookmarkStart w:id="100012" w:name="_Toc100012"/>
      <w:r>
        <w:rPr>
          <w:rFonts w:ascii="Liberation Serif" w:cs="Liberation Serif" w:eastAsia="Liberation Serif" w:hAnsi="Liberation Serif"/>
          <w:b/>
          <w:bCs/>
          <w:color w:val="14213D"/>
          <w:sz w:val="40"/>
          <w:szCs w:val="40"/>
        </w:rPr>
        <w:t xml:space="preserve">Chapter 4 — Feature Engineering Pipeline</w:t>
      </w:r>
      <w:bookmarkEnd w:id="100012"/>
    </w:p>
    <w:p>
      <w:pPr>
        <w:spacing w:after="160" w:line="312"/>
        <w:jc w:val="both"/>
      </w:pPr>
      <w:r>
        <w:rPr>
          <w:rFonts w:ascii="Liberation Serif" w:cs="Liberation Serif" w:eastAsia="Liberation Serif" w:hAnsi="Liberation Serif"/>
          <w:color w:val="14213D"/>
          <w:sz w:val="22"/>
          <w:szCs w:val="22"/>
        </w:rPr>
        <w:t xml:space="preserve">Feature engineering is the foundation of the ARDS. Seven engineered features capture the distinctive statistical signatures of each regime. Each feature is computed by a dedicated engine that updates incrementally on each bar close, avoiding full recomputation. The features are then normalized via rolling z-score with winsorization, producing an 8-dimensional feature vector (7 market features + 1 news sentiment composite) consumed by the model layer.</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Feature engineering pipeline: 7 features + News Sentiment composite → normalizer → 8-dim feature vector. Includes 6 CI-enforced feature quality gates.</w:t>
      </w:r>
    </w:p>
    <w:p>
      <w:pPr>
        <w:pStyle w:val="Heading2"/>
        <w:spacing w:after="160" w:before="320"/>
      </w:pPr>
      <w:bookmarkStart w:id="100013" w:name="_Toc100013"/>
      <w:r>
        <w:rPr>
          <w:rFonts w:ascii="Liberation Serif" w:cs="Liberation Serif" w:eastAsia="Liberation Serif" w:hAnsi="Liberation Serif"/>
          <w:b/>
          <w:bCs/>
          <w:color w:val="14213D"/>
          <w:sz w:val="28"/>
          <w:szCs w:val="28"/>
        </w:rPr>
        <w:t xml:space="preserve">Feature Definitions</w:t>
      </w:r>
      <w:bookmarkEnd w:id="100013"/>
    </w:p>
    <w:p>
      <w:pPr>
        <w:pStyle w:val="Heading3"/>
        <w:spacing w:after="120" w:before="240"/>
      </w:pPr>
      <w:bookmarkStart w:id="100014" w:name="_Toc100014"/>
      <w:r>
        <w:rPr>
          <w:rFonts w:ascii="Liberation Serif" w:cs="Liberation Serif" w:eastAsia="Liberation Serif" w:hAnsi="Liberation Serif"/>
          <w:b/>
          <w:bCs/>
          <w:color w:val="C8102E"/>
          <w:sz w:val="24"/>
          <w:szCs w:val="24"/>
        </w:rPr>
        <w:t xml:space="preserve">F1 — ADX (Average Directional Index)</w:t>
      </w:r>
      <w:bookmarkEnd w:id="100014"/>
    </w:p>
    <w:p>
      <w:pPr>
        <w:spacing w:after="160" w:line="312"/>
        <w:jc w:val="both"/>
      </w:pPr>
      <w:r>
        <w:rPr>
          <w:rFonts w:ascii="Liberation Serif" w:cs="Liberation Serif" w:eastAsia="Liberation Serif" w:hAnsi="Liberation Serif"/>
          <w:color w:val="14213D"/>
          <w:sz w:val="22"/>
          <w:szCs w:val="22"/>
        </w:rPr>
        <w:t xml:space="preserve">ADX measures trend strength on a 0-100 scale, regardless of direction. Computed via Wilder's 14-period smoothing of the Directional Movement Index (DMI). +DI and -DI are decomposed to allow the model to learn directional asymmetries. ADX &gt; 25 indicates a strong trend; ADX &lt; 20 indicates a range. ADX is the primary signal for the TREND regime. The Wilder smoothing (rather than simple EMA) is chosen for historical continuity and to match what most charting platforms display, reducing the risk of feature-engineering mismatches with operator expectations.</w:t>
      </w:r>
    </w:p>
    <w:p>
      <w:pPr>
        <w:pStyle w:val="Heading3"/>
        <w:spacing w:after="120" w:before="240"/>
      </w:pPr>
      <w:bookmarkStart w:id="100015" w:name="_Toc100015"/>
      <w:r>
        <w:rPr>
          <w:rFonts w:ascii="Liberation Serif" w:cs="Liberation Serif" w:eastAsia="Liberation Serif" w:hAnsi="Liberation Serif"/>
          <w:b/>
          <w:bCs/>
          <w:color w:val="C8102E"/>
          <w:sz w:val="24"/>
          <w:szCs w:val="24"/>
        </w:rPr>
        <w:t xml:space="preserve">F2 — ATR (Average True Range)</w:t>
      </w:r>
      <w:bookmarkEnd w:id="100015"/>
    </w:p>
    <w:p>
      <w:pPr>
        <w:spacing w:after="160" w:line="312"/>
        <w:jc w:val="both"/>
      </w:pPr>
      <w:r>
        <w:rPr>
          <w:rFonts w:ascii="Liberation Serif" w:cs="Liberation Serif" w:eastAsia="Liberation Serif" w:hAnsi="Liberation Serif"/>
          <w:color w:val="14213D"/>
          <w:sz w:val="22"/>
          <w:szCs w:val="22"/>
        </w:rPr>
        <w:t xml:space="preserve">ATR measures volatility in price units, computed as Wilder's 14-period smoothing of True Range (max of High-Low, |High-PrevClose|, |Low-PrevClose|). To make ATR comparable across price levels (XAUUSD at $2000 vs $1500), it is normalized by the current price: ATR_norm = ATR / price. This normalized ATR is the primary signal for the VOLATILE regime. A high percentile rank of ATR_norm over a 252-bar window indicates volatility expansion.</w:t>
      </w:r>
    </w:p>
    <w:p>
      <w:pPr>
        <w:pStyle w:val="Heading3"/>
        <w:spacing w:after="120" w:before="240"/>
      </w:pPr>
      <w:bookmarkStart w:id="100016" w:name="_Toc100016"/>
      <w:r>
        <w:rPr>
          <w:rFonts w:ascii="Liberation Serif" w:cs="Liberation Serif" w:eastAsia="Liberation Serif" w:hAnsi="Liberation Serif"/>
          <w:b/>
          <w:bCs/>
          <w:color w:val="C8102E"/>
          <w:sz w:val="24"/>
          <w:szCs w:val="24"/>
        </w:rPr>
        <w:t xml:space="preserve">F3 — EMA Slope</w:t>
      </w:r>
      <w:bookmarkEnd w:id="100016"/>
    </w:p>
    <w:p>
      <w:pPr>
        <w:spacing w:after="160" w:line="312"/>
        <w:jc w:val="both"/>
      </w:pPr>
      <w:r>
        <w:rPr>
          <w:rFonts w:ascii="Liberation Serif" w:cs="Liberation Serif" w:eastAsia="Liberation Serif" w:hAnsi="Liberation Serif"/>
          <w:color w:val="14213D"/>
          <w:sz w:val="22"/>
          <w:szCs w:val="22"/>
        </w:rPr>
        <w:t xml:space="preserve">EMA Slope measures the direction and steepness of the trend via the angle of the 20-period EMA. Computed as arctan(ΔEMA / Δt) where Δt is in bar units, yielding a value in [-π/2, +π/2]. Positive slope indicates uptrend, negative indicates downtrend, and magnitude indicates trend strength. This feature complements ADX (which is directionless) by providing directional information. The 20-period EMA is chosen as a balance between responsiveness (shorter EMAs are noisier) and lag (longer EMAs are too slow).</w:t>
      </w:r>
    </w:p>
    <w:p>
      <w:pPr>
        <w:pStyle w:val="Heading3"/>
        <w:spacing w:after="120" w:before="240"/>
      </w:pPr>
      <w:bookmarkStart w:id="100017" w:name="_Toc100017"/>
      <w:r>
        <w:rPr>
          <w:rFonts w:ascii="Liberation Serif" w:cs="Liberation Serif" w:eastAsia="Liberation Serif" w:hAnsi="Liberation Serif"/>
          <w:b/>
          <w:bCs/>
          <w:color w:val="C8102E"/>
          <w:sz w:val="24"/>
          <w:szCs w:val="24"/>
        </w:rPr>
        <w:t xml:space="preserve">F4 — Hurst Exponent</w:t>
      </w:r>
      <w:bookmarkEnd w:id="100017"/>
    </w:p>
    <w:p>
      <w:pPr>
        <w:spacing w:after="160" w:line="312"/>
        <w:jc w:val="both"/>
      </w:pPr>
      <w:r>
        <w:rPr>
          <w:rFonts w:ascii="Liberation Serif" w:cs="Liberation Serif" w:eastAsia="Liberation Serif" w:hAnsi="Liberation Serif"/>
          <w:color w:val="14213D"/>
          <w:sz w:val="22"/>
          <w:szCs w:val="22"/>
        </w:rPr>
        <w:t xml:space="preserve">The Hurst Exponent distinguishes persistent (trending) from anti-persistent (mean-reverting) time series. Computed via Rescaled Range (R/S) analysis over a 100-bar window. H &gt; 0.5 indicates persistence (trending), H = 0.5 indicates random walk, H &lt; 0.5 indicates anti-persistence (mean-reverting). This feature directly captures the trending-vs-ranging distinction that ADX measures indirectly. The 100-bar window is calibrated to capture regime-scale persistence rather than short-term autocorrelation.</w:t>
      </w:r>
    </w:p>
    <w:p>
      <w:pPr>
        <w:pStyle w:val="Heading3"/>
        <w:spacing w:after="120" w:before="240"/>
      </w:pPr>
      <w:bookmarkStart w:id="100018" w:name="_Toc100018"/>
      <w:r>
        <w:rPr>
          <w:rFonts w:ascii="Liberation Serif" w:cs="Liberation Serif" w:eastAsia="Liberation Serif" w:hAnsi="Liberation Serif"/>
          <w:b/>
          <w:bCs/>
          <w:color w:val="C8102E"/>
          <w:sz w:val="24"/>
          <w:szCs w:val="24"/>
        </w:rPr>
        <w:t xml:space="preserve">F5 — Bollinger Width</w:t>
      </w:r>
      <w:bookmarkEnd w:id="100018"/>
    </w:p>
    <w:p>
      <w:pPr>
        <w:spacing w:after="160" w:line="312"/>
        <w:jc w:val="both"/>
      </w:pPr>
      <w:r>
        <w:rPr>
          <w:rFonts w:ascii="Liberation Serif" w:cs="Liberation Serif" w:eastAsia="Liberation Serif" w:hAnsi="Liberation Serif"/>
          <w:color w:val="14213D"/>
          <w:sz w:val="22"/>
          <w:szCs w:val="22"/>
        </w:rPr>
        <w:t xml:space="preserve">Bollinger Width measures volatility expansion vs contraction. Computed as (upper_band - lower_band) / mid_band, where the bands are 2 standard deviations above and below the 20-period SMA. Expressed as a percentile rank against the prior 252 bars to make it comparable across volatility regimes. Narrow bands (low percentile) indicate RANGE; expanding bands (high percentile) indicate VOLATILE or breakout. The percentile-rank transformation is critical because raw Bollinger Width is non-stationary (it scales with volatility regime).</w:t>
      </w:r>
    </w:p>
    <w:p>
      <w:pPr>
        <w:pStyle w:val="Heading3"/>
        <w:spacing w:after="120" w:before="240"/>
      </w:pPr>
      <w:bookmarkStart w:id="100019" w:name="_Toc100019"/>
      <w:r>
        <w:rPr>
          <w:rFonts w:ascii="Liberation Serif" w:cs="Liberation Serif" w:eastAsia="Liberation Serif" w:hAnsi="Liberation Serif"/>
          <w:b/>
          <w:bCs/>
          <w:color w:val="C8102E"/>
          <w:sz w:val="24"/>
          <w:szCs w:val="24"/>
        </w:rPr>
        <w:t xml:space="preserve">F6 — Realized Volatility</w:t>
      </w:r>
      <w:bookmarkEnd w:id="100019"/>
    </w:p>
    <w:p>
      <w:pPr>
        <w:spacing w:after="160" w:line="312"/>
        <w:jc w:val="both"/>
      </w:pPr>
      <w:r>
        <w:rPr>
          <w:rFonts w:ascii="Liberation Serif" w:cs="Liberation Serif" w:eastAsia="Liberation Serif" w:hAnsi="Liberation Serif"/>
          <w:color w:val="14213D"/>
          <w:sz w:val="22"/>
          <w:szCs w:val="22"/>
        </w:rPr>
        <w:t xml:space="preserve">Realized Volatility is the annualized standard deviation of log returns over a 30-bar window: σ_annual = σ_bar × √252. This provides a baseline volatility measurement that complements ATR (which is in price units). Realized Vol is EMA-decayed to give more weight to recent bars, making it more responsive to volatility regime shifts than a simple rolling window. The 30-bar window is short enough to capture intraday vol shifts but long enough to be statistically stable.</w:t>
      </w:r>
    </w:p>
    <w:p>
      <w:pPr>
        <w:pStyle w:val="Heading3"/>
        <w:spacing w:after="120" w:before="240"/>
      </w:pPr>
      <w:bookmarkStart w:id="100020" w:name="_Toc100020"/>
      <w:r>
        <w:rPr>
          <w:rFonts w:ascii="Liberation Serif" w:cs="Liberation Serif" w:eastAsia="Liberation Serif" w:hAnsi="Liberation Serif"/>
          <w:b/>
          <w:bCs/>
          <w:color w:val="C8102E"/>
          <w:sz w:val="24"/>
          <w:szCs w:val="24"/>
        </w:rPr>
        <w:t xml:space="preserve">F7 — Volume Analysis</w:t>
      </w:r>
      <w:bookmarkEnd w:id="100020"/>
    </w:p>
    <w:p>
      <w:pPr>
        <w:spacing w:after="160" w:line="312"/>
        <w:jc w:val="both"/>
      </w:pPr>
      <w:r>
        <w:rPr>
          <w:rFonts w:ascii="Liberation Serif" w:cs="Liberation Serif" w:eastAsia="Liberation Serif" w:hAnsi="Liberation Serif"/>
          <w:color w:val="14213D"/>
          <w:sz w:val="22"/>
          <w:szCs w:val="22"/>
        </w:rPr>
        <w:t xml:space="preserve">Volume Analysis is a composite of three sub-features: tick volume z-score (50-bar rolling), On-Balance Volume (OBV) slope, and VWAP deviation. The z-score captures volume spikes that often precede or accompany regime transitions. OBV slope captures accumulation/distribution. VWAP deviation captures whether price is above or below the volume-weighted average — a key signal for institutional flow. Volume spikes (z &gt; 2.0) are particularly important for the NEWS and VOLATILE regimes, where volume often leads price.</w:t>
      </w:r>
    </w:p>
    <w:p>
      <w:pPr>
        <w:pStyle w:val="Heading3"/>
        <w:spacing w:after="120" w:before="240"/>
      </w:pPr>
      <w:bookmarkStart w:id="100021" w:name="_Toc100021"/>
      <w:r>
        <w:rPr>
          <w:rFonts w:ascii="Liberation Serif" w:cs="Liberation Serif" w:eastAsia="Liberation Serif" w:hAnsi="Liberation Serif"/>
          <w:b/>
          <w:bCs/>
          <w:color w:val="C8102E"/>
          <w:sz w:val="24"/>
          <w:szCs w:val="24"/>
        </w:rPr>
        <w:t xml:space="preserve">F8 — News Sentiment (Composite)</w:t>
      </w:r>
      <w:bookmarkEnd w:id="100021"/>
    </w:p>
    <w:p>
      <w:pPr>
        <w:spacing w:after="160" w:line="312"/>
        <w:jc w:val="both"/>
      </w:pPr>
      <w:r>
        <w:rPr>
          <w:rFonts w:ascii="Liberation Serif" w:cs="Liberation Serif" w:eastAsia="Liberation Serif" w:hAnsi="Liberation Serif"/>
          <w:color w:val="14213D"/>
          <w:sz w:val="22"/>
          <w:szCs w:val="22"/>
        </w:rPr>
        <w:t xml:space="preserve">News Sentiment is a composite feature combining: (1) minutes-to-event (proximity to scheduled news), (2) impact tier (High/Medium/Low), (3) surprise factor (actual - forecast, normalized by historical surprise σ), and (4) NLP sentiment score from Fed communications and major news wires (range [-1, +1]). This feature is the primary input to the Rules Engine's NEWS veto logic. The composite is weighted: proximity × impact × (1 + |surprise|) × (1 + |NLP|), producing a single scalar that captures both the timing and the substance of news events.</w:t>
      </w:r>
    </w:p>
    <w:p>
      <w:pPr>
        <w:pStyle w:val="Heading2"/>
        <w:spacing w:after="160" w:before="320"/>
      </w:pPr>
      <w:bookmarkStart w:id="100022" w:name="_Toc100022"/>
      <w:r>
        <w:rPr>
          <w:rFonts w:ascii="Liberation Serif" w:cs="Liberation Serif" w:eastAsia="Liberation Serif" w:hAnsi="Liberation Serif"/>
          <w:b/>
          <w:bCs/>
          <w:color w:val="14213D"/>
          <w:sz w:val="28"/>
          <w:szCs w:val="28"/>
        </w:rPr>
        <w:t xml:space="preserve">Feature Quality Gates</w:t>
      </w:r>
      <w:bookmarkEnd w:id="100022"/>
    </w:p>
    <w:p>
      <w:pPr>
        <w:spacing w:after="160" w:line="312"/>
        <w:jc w:val="both"/>
      </w:pPr>
      <w:r>
        <w:rPr>
          <w:rFonts w:ascii="Liberation Serif" w:cs="Liberation Serif" w:eastAsia="Liberation Serif" w:hAnsi="Liberation Serif"/>
          <w:color w:val="14213D"/>
          <w:sz w:val="22"/>
          <w:szCs w:val="22"/>
        </w:rPr>
        <w:t xml:space="preserve">All features are subject to six CI-enforced quality gates that run continuously. A feature failing any gate is flagged for investigation and may be excluded from the model input until the issue is resolved. The gates ensure that the feature pipeline remains stationary, uncorrelated, drift-free, complete, in-range, and fast — properties that are essential for the ML models to function correctly.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4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Gate</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Threshold</w:t>
            </w:r>
          </w:p>
        </w:tc>
        <w:tc>
          <w:tcPr>
            <w:tcW w:type="dxa" w:w="21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Failure Action</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Stationarity</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ADF test on each feature series</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p-value &lt; 0.05</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warning · recompute window</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Correlation</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Pairwise Pearson between features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|ρ| &lt; 0.85</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Drop redundant feature</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Drift (PSI)</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Population Stability Index vs train</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PSI &lt; 0.20</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Alert · retrain model</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Coverage</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Non-NaN ratio per feature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99.5%</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Investigate data feed</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Range</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Z-scored features in [-4, +4]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99% within</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Clip · flag outlier</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Latency</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Feature compute end-to-end</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p99 &lt; 50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Throttle non-critical features</w:t>
            </w:r>
          </w:p>
        </w:tc>
      </w:tr>
    </w:tbl>
    <w:p>
      <w:pPr>
        <w:spacing w:after="200"/>
      </w:pPr>
    </w:p>
    <w:p>
      <w:pPr>
        <w:pStyle w:val="Heading1"/>
        <w:pageBreakBefore/>
        <w:pBdr>
          <w:bottom w:val="single" w:color="C8102E" w:sz="18" w:space="4"/>
        </w:pBdr>
        <w:spacing w:after="240" w:before="480"/>
      </w:pPr>
      <w:bookmarkStart w:id="100023" w:name="_Toc100023"/>
      <w:r>
        <w:rPr>
          <w:rFonts w:ascii="Liberation Serif" w:cs="Liberation Serif" w:eastAsia="Liberation Serif" w:hAnsi="Liberation Serif"/>
          <w:b/>
          <w:bCs/>
          <w:color w:val="14213D"/>
          <w:sz w:val="40"/>
          <w:szCs w:val="40"/>
        </w:rPr>
        <w:t xml:space="preserve">Chapter 5 — Ensemble Model Design</w:t>
      </w:r>
      <w:bookmarkEnd w:id="100023"/>
    </w:p>
    <w:p>
      <w:pPr>
        <w:spacing w:after="160" w:line="312"/>
        <w:jc w:val="both"/>
      </w:pPr>
      <w:r>
        <w:rPr>
          <w:rFonts w:ascii="Liberation Serif" w:cs="Liberation Serif" w:eastAsia="Liberation Serif" w:hAnsi="Liberation Serif"/>
          <w:color w:val="14213D"/>
          <w:sz w:val="22"/>
          <w:szCs w:val="22"/>
        </w:rPr>
        <w:t xml:space="preserve">The ARDS uses a three-model ensemble to classify the market regime. Each model has distinct strengths and weaknesses, and the ensemble combines them to achieve better performance than any single model alone. The LightGBM classifier provides maximum accuracy and SHAP explainability; the HMM provides temporal smoothing and persistence; the Rules Engine provides human-interpretable overrides and news-event veto. The three models vote with weights 0.50, 0.30, and 0.20 respectively, with the Rules Engine retaining veto power for the NEWS regime.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Ensemble model architecture: 3 parallel models → weighted vote → RegimeLabel. Rules Engine has veto power for NEWS regime.</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Model 1 — Gaussian Hidden Markov Model (HMM)</w:t>
      </w:r>
      <w:bookmarkEnd w:id="100024"/>
    </w:p>
    <w:p>
      <w:pPr>
        <w:spacing w:after="160" w:line="312"/>
        <w:jc w:val="both"/>
      </w:pPr>
      <w:r>
        <w:rPr>
          <w:rFonts w:ascii="Liberation Serif" w:cs="Liberation Serif" w:eastAsia="Liberation Serif" w:hAnsi="Liberation Serif"/>
          <w:color w:val="14213D"/>
          <w:sz w:val="22"/>
          <w:szCs w:val="22"/>
        </w:rPr>
        <w:t xml:space="preserve">The HMM is a 3-state Gaussian HMM with states corresponding to TREND, RANGE, and VOLATILE (NEWS is handled exclusively by the Rules Engine). The HMM captures two properties that the other models miss: (1) regime persistence — the probability of staying in the current regime is higher than transitioning, which prevents flapping; and (2) emission distributions — each regime has a characteristic feature distribution (e.g., TREND has high ADX and positive EMA slope) that the HMM learns from data. Training uses the Baum-Welch EM algorithm with 100 iterations, retrained per session (Asia/EU/US) to capture session-specific regime characteristics.</w:t>
      </w:r>
    </w:p>
    <w:p>
      <w:pPr>
        <w:spacing w:after="160" w:line="312"/>
        <w:jc w:val="both"/>
      </w:pPr>
      <w:r>
        <w:rPr>
          <w:rFonts w:ascii="Liberation Serif" w:cs="Liberation Serif" w:eastAsia="Liberation Serif" w:hAnsi="Liberation Serif"/>
          <w:color w:val="14213D"/>
          <w:sz w:val="22"/>
          <w:szCs w:val="22"/>
        </w:rPr>
        <w:t xml:space="preserve">Inference uses the Viterbi algorithm to find the most likely state sequence given the observed features, and the forward algorithm to compute posterior probabilities for each state at the current time step. The Viterbi path provides the regime label; the forward posteriors contribute to the ProbabilityScorer output. The HMM's weight in the ensemble (0.30) is lower than LightGBM (0.50) because the HMM's accuracy is lower (it cannot model non-Gaussian feature interactions), but its persistence prior is valuable for preventing regime flapping.</w:t>
      </w:r>
    </w:p>
    <w:p>
      <w:pPr>
        <w:pStyle w:val="Heading2"/>
        <w:spacing w:after="160" w:before="320"/>
      </w:pPr>
      <w:bookmarkStart w:id="100025" w:name="_Toc100025"/>
      <w:r>
        <w:rPr>
          <w:rFonts w:ascii="Liberation Serif" w:cs="Liberation Serif" w:eastAsia="Liberation Serif" w:hAnsi="Liberation Serif"/>
          <w:b/>
          <w:bCs/>
          <w:color w:val="14213D"/>
          <w:sz w:val="28"/>
          <w:szCs w:val="28"/>
        </w:rPr>
        <w:t xml:space="preserve">Model 2 — LightGBM 4-Class Classifier</w:t>
      </w:r>
      <w:bookmarkEnd w:id="100025"/>
    </w:p>
    <w:p>
      <w:pPr>
        <w:spacing w:after="160" w:line="312"/>
        <w:jc w:val="both"/>
      </w:pPr>
      <w:r>
        <w:rPr>
          <w:rFonts w:ascii="Liberation Serif" w:cs="Liberation Serif" w:eastAsia="Liberation Serif" w:hAnsi="Liberation Serif"/>
          <w:color w:val="14213D"/>
          <w:sz w:val="22"/>
          <w:szCs w:val="22"/>
        </w:rPr>
        <w:t xml:space="preserve">The LightGBM classifier is a 4-class softmax gradient-boosted tree model trained on all 8 features (including News Sentiment). It produces a probability distribution over TREND/RANGE/VOLATILE/NEWS, with the argmax forming its regime prediction. LightGBM is chosen over alternatives (XGBoost, Random Forest, neural networks) for its speed (training and inference), accuracy (consistently top-performer on tabular data), and built-in SHAP support (for explainability). Hyperparameters: 500 trees, max_depth=6, learning_rate=0.05, early_stopping on validation log-loss.</w:t>
      </w:r>
    </w:p>
    <w:p>
      <w:pPr>
        <w:spacing w:after="160" w:line="312"/>
        <w:jc w:val="both"/>
      </w:pPr>
      <w:r>
        <w:rPr>
          <w:rFonts w:ascii="Liberation Serif" w:cs="Liberation Serif" w:eastAsia="Liberation Serif" w:hAnsi="Liberation Serif"/>
          <w:color w:val="14213D"/>
          <w:sz w:val="22"/>
          <w:szCs w:val="22"/>
        </w:rPr>
        <w:t xml:space="preserve">Training data is generated by labeling 24 months of historical data with ground-truth regime labels. Ground truth is defined by forward returns: a bar is labeled TREND if the subsequent 10-bar return exceeds 2× ATR; RANGE if it remains within ±1× ATR; VOLATILE if the subsequent 10-bar range exceeds 4× ATR; NEWS if a scheduled event occurred within ±5 minutes. This labeling is necessarily imperfect (ground truth is constructed ex-post), but it provides a consistent training signal that correlates well with the regimes the system needs to detect.</w:t>
      </w:r>
    </w:p>
    <w:p>
      <w:pPr>
        <w:spacing w:after="160" w:line="312"/>
        <w:jc w:val="both"/>
      </w:pPr>
      <w:r>
        <w:rPr>
          <w:rFonts w:ascii="Liberation Serif" w:cs="Liberation Serif" w:eastAsia="Liberation Serif" w:hAnsi="Liberation Serif"/>
          <w:color w:val="14213D"/>
          <w:sz w:val="22"/>
          <w:szCs w:val="22"/>
        </w:rPr>
        <w:t xml:space="preserve">SHAP (SHapley Additive exPlanations) values are computed for every inference, providing per-feature contribution to the prediction. SHAP values feed the ExplainabilityScorer (concentration of contribution on top-3 features) and the audit log (for post-hoc analysis). SHAP is the primary tool for understanding why the model made a particular prediction, which is essential for operator trust and for diagnosing model failures.</w:t>
      </w:r>
    </w:p>
    <w:p>
      <w:pPr>
        <w:pStyle w:val="Heading2"/>
        <w:spacing w:after="160" w:before="320"/>
      </w:pPr>
      <w:bookmarkStart w:id="100026" w:name="_Toc100026"/>
      <w:r>
        <w:rPr>
          <w:rFonts w:ascii="Liberation Serif" w:cs="Liberation Serif" w:eastAsia="Liberation Serif" w:hAnsi="Liberation Serif"/>
          <w:b/>
          <w:bCs/>
          <w:color w:val="14213D"/>
          <w:sz w:val="28"/>
          <w:szCs w:val="28"/>
        </w:rPr>
        <w:t xml:space="preserve">Model 3 — Rules Engine</w:t>
      </w:r>
      <w:bookmarkEnd w:id="100026"/>
    </w:p>
    <w:p>
      <w:pPr>
        <w:spacing w:after="160" w:line="312"/>
        <w:jc w:val="both"/>
      </w:pPr>
      <w:r>
        <w:rPr>
          <w:rFonts w:ascii="Liberation Serif" w:cs="Liberation Serif" w:eastAsia="Liberation Serif" w:hAnsi="Liberation Serif"/>
          <w:color w:val="14213D"/>
          <w:sz w:val="22"/>
          <w:szCs w:val="22"/>
        </w:rPr>
        <w:t xml:space="preserve">The Rules Engine is a deterministic, hand-crafted rule system that serves two purposes: (1) it provides human-interpretable overrides for cases where the ML models have known blind spots, and (2) it has veto power for the NEWS regime — if the Rules Engine detects a news event, the ensemble output is NEWS regardless of what the ML models say. The rules are written as simple if-then statements, reviewed quarterly, and version-controlled in git. Example rules:</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Example rules (Python pseudocode)
def classify(features, news_buffer):
    # R1: News override (VETO POWER)
    if news_buffer.has_event_within(minutes=15, impact='H'):
        return RegimeLabel.NEWS  # bypasses ensemble
    # R2: Overnight gap &gt; 3 sigma -&gt; VOLATILE
    if features.overnight_gap_z &gt; 3.0:
        return RegimeLabel.VOLATILE
    # R3: ADX &gt; 30 AND EMA slope &gt; 0.3 -&gt; TREND
    if features.adx &gt; 30 and features.ema_slope &gt; 0.3:
        return RegimeLabel.TREND
    # R4: ADX &lt; 15 AND BBW percentile &lt; 20% -&gt; RANGE
    if features.adx &lt; 15 and features.bbw_pct &lt; 0.20:
        return RegimeLabel.RANGE
    # R5: Volume spike z &gt; 3.0 (no news) -&gt; VOLATILE
    if features.vol_z &gt; 3.0 and not news_buffer.has_event_within(60):
        return RegimeLabel.VOLATILE
    return None  # NO_VETO - let ensemble decide</w:t>
      </w:r>
    </w:p>
    <w:p>
      <w:pPr>
        <w:spacing w:after="160" w:line="312"/>
        <w:jc w:val="both"/>
      </w:pPr>
      <w:r>
        <w:rPr>
          <w:rFonts w:ascii="Liberation Serif" w:cs="Liberation Serif" w:eastAsia="Liberation Serif" w:hAnsi="Liberation Serif"/>
          <w:color w:val="14213D"/>
          <w:sz w:val="22"/>
          <w:szCs w:val="22"/>
        </w:rPr>
        <w:t xml:space="preserve">The Rules Engine's weight in the ensemble (0.20) is lower than the ML models, but its veto power for NEWS is absolute. This design reflects the asymmetry of regime misclassification costs: a false NEWS classification (trading paused unnecessarily) is a missed opportunity, but a missed NEWS classification (trading through a news event) can be catastrophic. The veto ensures that the system never trades through a high-impact news event, regardless of what the ML models say.</w:t>
      </w:r>
    </w:p>
    <w:p>
      <w:pPr>
        <w:pStyle w:val="Heading2"/>
        <w:spacing w:after="160" w:before="320"/>
      </w:pPr>
      <w:bookmarkStart w:id="100027" w:name="_Toc100027"/>
      <w:r>
        <w:rPr>
          <w:rFonts w:ascii="Liberation Serif" w:cs="Liberation Serif" w:eastAsia="Liberation Serif" w:hAnsi="Liberation Serif"/>
          <w:b/>
          <w:bCs/>
          <w:color w:val="14213D"/>
          <w:sz w:val="28"/>
          <w:szCs w:val="28"/>
        </w:rPr>
        <w:t xml:space="preserve">Ensemble Voting</w:t>
      </w:r>
      <w:bookmarkEnd w:id="100027"/>
    </w:p>
    <w:p>
      <w:pPr>
        <w:spacing w:after="160" w:line="312"/>
        <w:jc w:val="both"/>
      </w:pPr>
      <w:r>
        <w:rPr>
          <w:rFonts w:ascii="Liberation Serif" w:cs="Liberation Serif" w:eastAsia="Liberation Serif" w:hAnsi="Liberation Serif"/>
          <w:color w:val="14213D"/>
          <w:sz w:val="22"/>
          <w:szCs w:val="22"/>
        </w:rPr>
        <w:t xml:space="preserve">The EnsembleVoter combines the three model outputs via weighted vote. The weights (0.30 HMM, 0.50 LGB, 0.20 Rules) were tuned on 24 months of out-of-sample data to maximize macro F1 score. The Rules Engine can emit NO_VETO (no override), in which case the weighted vote determines the label. If Rules emits a specific label (NEWS, VOLATILE, TREND, RANGE), that label is the ensemble output — the Rules Engine has veto power.</w:t>
      </w:r>
    </w:p>
    <w:p>
      <w:pPr>
        <w:pStyle w:val="Heading1"/>
        <w:pageBreakBefore/>
        <w:pBdr>
          <w:bottom w:val="single" w:color="C8102E" w:sz="18" w:space="4"/>
        </w:pBdr>
        <w:spacing w:after="240" w:before="480"/>
      </w:pPr>
      <w:bookmarkStart w:id="100028" w:name="_Toc100028"/>
      <w:r>
        <w:rPr>
          <w:rFonts w:ascii="Liberation Serif" w:cs="Liberation Serif" w:eastAsia="Liberation Serif" w:hAnsi="Liberation Serif"/>
          <w:b/>
          <w:bCs/>
          <w:color w:val="14213D"/>
          <w:sz w:val="40"/>
          <w:szCs w:val="40"/>
        </w:rPr>
        <w:t xml:space="preserve">Chapter 6 — Scoring Outputs</w:t>
      </w:r>
      <w:bookmarkEnd w:id="100028"/>
    </w:p>
    <w:p>
      <w:pPr>
        <w:spacing w:after="160" w:line="312"/>
        <w:jc w:val="both"/>
      </w:pPr>
      <w:r>
        <w:rPr>
          <w:rFonts w:ascii="Liberation Serif" w:cs="Liberation Serif" w:eastAsia="Liberation Serif" w:hAnsi="Liberation Serif"/>
          <w:color w:val="14213D"/>
          <w:sz w:val="22"/>
          <w:szCs w:val="22"/>
        </w:rPr>
        <w:t xml:space="preserve">Every ARDS prediction produces three scoring vectors alongside the final RegimeLabel. These scores allow downstream consumers (Strategy Coordinator, Risk Gate, operator console) to assess the reliability of the classification and act accordingly. A high-confidence, high-explainability prediction can be acted on aggressively; a low-confidence, low-explainability prediction should be treated with caution, with position sizing reduced or strategy activation delayed.</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Three scoring outputs: Confidence (model agreement), Probability (4-vector distribution), Explainability (SHAP concentration).</w:t>
      </w:r>
    </w:p>
    <w:p>
      <w:pPr>
        <w:pStyle w:val="Heading2"/>
        <w:spacing w:after="160" w:before="320"/>
      </w:pPr>
      <w:bookmarkStart w:id="100029" w:name="_Toc100029"/>
      <w:r>
        <w:rPr>
          <w:rFonts w:ascii="Liberation Serif" w:cs="Liberation Serif" w:eastAsia="Liberation Serif" w:hAnsi="Liberation Serif"/>
          <w:b/>
          <w:bCs/>
          <w:color w:val="14213D"/>
          <w:sz w:val="28"/>
          <w:szCs w:val="28"/>
        </w:rPr>
        <w:t xml:space="preserve">Confidence Score</w:t>
      </w:r>
      <w:bookmarkEnd w:id="100029"/>
    </w:p>
    <w:p>
      <w:pPr>
        <w:spacing w:after="160" w:line="312"/>
        <w:jc w:val="both"/>
      </w:pPr>
      <w:r>
        <w:rPr>
          <w:rFonts w:ascii="Liberation Serif" w:cs="Liberation Serif" w:eastAsia="Liberation Serif" w:hAnsi="Liberation Serif"/>
          <w:color w:val="14213D"/>
          <w:sz w:val="22"/>
          <w:szCs w:val="22"/>
        </w:rPr>
        <w:t xml:space="preserve">The Confidence score measures inter-model agreement on the final label. Formula: confidence = Σ w_i · 1[p_i == p_final] / Σ w_i, where w_i is the weight of model i and p_i is its prediction. Range: [0.0, 1.0]. A confidence of 1.0 means all three models agree; 0.33 means only one model agrees with the final label. Typical values are 0.50-0.85. The Strategy Coordinator uses confidence to gate strategy activation: a strategy is only activated if confidence &gt; 0.65, ensuring that the system does not act on uncertain predictions.</w:t>
      </w:r>
    </w:p>
    <w:p>
      <w:pPr>
        <w:pStyle w:val="Heading2"/>
        <w:spacing w:after="160" w:before="320"/>
      </w:pPr>
      <w:bookmarkStart w:id="100030" w:name="_Toc100030"/>
      <w:r>
        <w:rPr>
          <w:rFonts w:ascii="Liberation Serif" w:cs="Liberation Serif" w:eastAsia="Liberation Serif" w:hAnsi="Liberation Serif"/>
          <w:b/>
          <w:bCs/>
          <w:color w:val="14213D"/>
          <w:sz w:val="28"/>
          <w:szCs w:val="28"/>
        </w:rPr>
        <w:t xml:space="preserve">Probability Score</w:t>
      </w:r>
      <w:bookmarkEnd w:id="100030"/>
    </w:p>
    <w:p>
      <w:pPr>
        <w:spacing w:after="160" w:line="312"/>
        <w:jc w:val="both"/>
      </w:pPr>
      <w:r>
        <w:rPr>
          <w:rFonts w:ascii="Liberation Serif" w:cs="Liberation Serif" w:eastAsia="Liberation Serif" w:hAnsi="Liberation Serif"/>
          <w:color w:val="14213D"/>
          <w:sz w:val="22"/>
          <w:szCs w:val="22"/>
        </w:rPr>
        <w:t xml:space="preserve">The Probability score is a 4-vector distribution over the four regimes, computed as the average of the LightGBM softmax and the HMM forward posteriors. (The Rules Engine does not produce probabilities — it produces deterministic labels.) The four values sum to 1.0. The argmax of the probability vector is the final label. The Risk Gate uses the probability vector for risk-aware position sizing: position size is scaled by (1 - P(NEWS) - 0.5×P(VOLATILE)), reducing size when the probability of risky regimes is high.</w:t>
      </w:r>
    </w:p>
    <w:p>
      <w:pPr>
        <w:pStyle w:val="Heading2"/>
        <w:spacing w:after="160" w:before="320"/>
      </w:pPr>
      <w:bookmarkStart w:id="100031" w:name="_Toc100031"/>
      <w:r>
        <w:rPr>
          <w:rFonts w:ascii="Liberation Serif" w:cs="Liberation Serif" w:eastAsia="Liberation Serif" w:hAnsi="Liberation Serif"/>
          <w:b/>
          <w:bCs/>
          <w:color w:val="14213D"/>
          <w:sz w:val="28"/>
          <w:szCs w:val="28"/>
        </w:rPr>
        <w:t xml:space="preserve">Explainability Score</w:t>
      </w:r>
      <w:bookmarkEnd w:id="100031"/>
    </w:p>
    <w:p>
      <w:pPr>
        <w:spacing w:after="160" w:line="312"/>
        <w:jc w:val="both"/>
      </w:pPr>
      <w:r>
        <w:rPr>
          <w:rFonts w:ascii="Liberation Serif" w:cs="Liberation Serif" w:eastAsia="Liberation Serif" w:hAnsi="Liberation Serif"/>
          <w:color w:val="14213D"/>
          <w:sz w:val="22"/>
          <w:szCs w:val="22"/>
        </w:rPr>
        <w:t xml:space="preserve">The Explainability score measures how concentrated the SHAP value contributions are on the top-3 features. Formula: explainability = Σ|SHAP_top3| / Σ|SHAP_all|. Range: [0.0, 1.0]. A score of 1.0 means the top-3 features explain 100% of the prediction; 0.5 means the contribution is diffuse across all features. Typical values are 0.65-0.85. The operator console uses explainability for trust calibration: predictions with low explainability are flagged for review, as they may indicate the model is relying on noisy feature interactions rather than a clear signal.</w:t>
      </w:r>
    </w:p>
    <w:p>
      <w:pPr>
        <w:pStyle w:val="Heading2"/>
        <w:spacing w:after="160" w:before="320"/>
      </w:pPr>
      <w:bookmarkStart w:id="100032" w:name="_Toc100032"/>
      <w:r>
        <w:rPr>
          <w:rFonts w:ascii="Liberation Serif" w:cs="Liberation Serif" w:eastAsia="Liberation Serif" w:hAnsi="Liberation Serif"/>
          <w:b/>
          <w:bCs/>
          <w:color w:val="14213D"/>
          <w:sz w:val="28"/>
          <w:szCs w:val="28"/>
        </w:rPr>
        <w:t xml:space="preserve">Downstream Consumption</w:t>
      </w:r>
      <w:bookmarkEnd w:id="100032"/>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4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Score</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Question It Answers</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Range</w:t>
            </w:r>
          </w:p>
        </w:tc>
        <w:tc>
          <w:tcPr>
            <w:tcW w:type="dxa" w:w="21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Consumer</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Action Threshold</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Confidence</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How much do the 3 models agree?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1]</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Strategy Coordinator</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Activate strategy if &gt; 0.65</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Probability[4]</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Distribution over regimes?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[0,1]×4 sum=1</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Gate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if P(NEWS) &gt; 0.20</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Explainability</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How concentrated is the SHAP?</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1]</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Operator Console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Flag for review if &lt; 0.50</w:t>
            </w:r>
          </w:p>
        </w:tc>
      </w:tr>
    </w:tbl>
    <w:p>
      <w:pPr>
        <w:spacing w:after="200"/>
      </w:pPr>
    </w:p>
    <w:p>
      <w:pPr>
        <w:pStyle w:val="Heading1"/>
        <w:pageBreakBefore/>
        <w:pBdr>
          <w:bottom w:val="single" w:color="C8102E" w:sz="18" w:space="4"/>
        </w:pBdr>
        <w:spacing w:after="240" w:before="480"/>
      </w:pPr>
      <w:bookmarkStart w:id="100033" w:name="_Toc100033"/>
      <w:r>
        <w:rPr>
          <w:rFonts w:ascii="Liberation Serif" w:cs="Liberation Serif" w:eastAsia="Liberation Serif" w:hAnsi="Liberation Serif"/>
          <w:b/>
          <w:bCs/>
          <w:color w:val="14213D"/>
          <w:sz w:val="40"/>
          <w:szCs w:val="40"/>
        </w:rPr>
        <w:t xml:space="preserve">Chapter 7 — Validation Framework</w:t>
      </w:r>
      <w:bookmarkEnd w:id="100033"/>
    </w:p>
    <w:p>
      <w:pPr>
        <w:spacing w:after="160" w:line="312"/>
        <w:jc w:val="both"/>
      </w:pPr>
      <w:r>
        <w:rPr>
          <w:rFonts w:ascii="Liberation Serif" w:cs="Liberation Serif" w:eastAsia="Liberation Serif" w:hAnsi="Liberation Serif"/>
          <w:color w:val="14213D"/>
          <w:sz w:val="22"/>
          <w:szCs w:val="22"/>
        </w:rPr>
        <w:t xml:space="preserve">The ARDS is validated through a multi-modal framework that tests not just predictive accuracy but also stability, calibration, drift, and robustness. The framework is enforced as CI gates — a build that fails validation cannot be promoted to production. The validation runs nightly on the full historical dataset and on every PR that touches ARDS code or features.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Walk-forward validation (5 folds × 4 months OOS) and 7 validation metrics with CI gates.</w:t>
      </w:r>
    </w:p>
    <w:p>
      <w:pPr>
        <w:pStyle w:val="Heading2"/>
        <w:spacing w:after="160" w:before="320"/>
      </w:pPr>
      <w:bookmarkStart w:id="100034" w:name="_Toc100034"/>
      <w:r>
        <w:rPr>
          <w:rFonts w:ascii="Liberation Serif" w:cs="Liberation Serif" w:eastAsia="Liberation Serif" w:hAnsi="Liberation Serif"/>
          <w:b/>
          <w:bCs/>
          <w:color w:val="14213D"/>
          <w:sz w:val="28"/>
          <w:szCs w:val="28"/>
        </w:rPr>
        <w:t xml:space="preserve">Walk-Forward Validation</w:t>
      </w:r>
      <w:bookmarkEnd w:id="100034"/>
    </w:p>
    <w:p>
      <w:pPr>
        <w:spacing w:after="160" w:line="312"/>
        <w:jc w:val="both"/>
      </w:pPr>
      <w:r>
        <w:rPr>
          <w:rFonts w:ascii="Liberation Serif" w:cs="Liberation Serif" w:eastAsia="Liberation Serif" w:hAnsi="Liberation Serif"/>
          <w:color w:val="14213D"/>
          <w:sz w:val="22"/>
          <w:szCs w:val="22"/>
        </w:rPr>
        <w:t xml:space="preserve">The primary validation method is anchored walk-forward validation with 5 folds. Each fold uses an expanding training window (e.g., Fold 1 trains on Q1 2024, tests on Q2 2024; Fold 2 trains on Q1-Q2 2024, tests on Q3 2024; etc.). This simulates live deployment, where the model is trained on all available history and used to predict the future. Metrics are averaged across folds to produce a single performance estimate. Walk-forward validation catches temporal overfitting — a model that memorizes historical regimes but cannot generalize to new ones will perform well in-sample but poorly out-of-sample.</w:t>
      </w:r>
    </w:p>
    <w:p>
      <w:pPr>
        <w:pStyle w:val="Heading2"/>
        <w:spacing w:after="160" w:before="320"/>
      </w:pPr>
      <w:bookmarkStart w:id="100035" w:name="_Toc100035"/>
      <w:r>
        <w:rPr>
          <w:rFonts w:ascii="Liberation Serif" w:cs="Liberation Serif" w:eastAsia="Liberation Serif" w:hAnsi="Liberation Serif"/>
          <w:b/>
          <w:bCs/>
          <w:color w:val="14213D"/>
          <w:sz w:val="28"/>
          <w:szCs w:val="28"/>
        </w:rPr>
        <w:t xml:space="preserve">Validation Metrics</w:t>
      </w:r>
      <w:bookmarkEnd w:id="100035"/>
    </w:p>
    <w:p>
      <w:pPr>
        <w:spacing w:after="160" w:line="312"/>
        <w:jc w:val="both"/>
      </w:pPr>
      <w:r>
        <w:rPr>
          <w:rFonts w:ascii="Liberation Serif" w:cs="Liberation Serif" w:eastAsia="Liberation Serif" w:hAnsi="Liberation Serif"/>
          <w:color w:val="14213D"/>
          <w:sz w:val="22"/>
          <w:szCs w:val="22"/>
        </w:rPr>
        <w:t xml:space="preserve">Seven metrics are computed per fold and averaged. Each metric targets a specific property of the regime classifier beyond raw accuracy.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1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Formula</w:t>
            </w:r>
          </w:p>
        </w:tc>
        <w:tc>
          <w:tcPr>
            <w:tcW w:type="dxa" w:w="14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What It Catches</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Macro F1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avg(F1 per class)</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0.70</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Overall accuracy accounting for class imbalance</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Per-class F1</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F1 per regime class</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0.60 each</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regime is systematically misclassified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 flapping rate</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label changes / 100 bars</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5.0</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 is not flipping excessively</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dwell time</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bars in same regime</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8 bars</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Regimes persist long enough to be actionable</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Brier score</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avg((p_pred - one_hot)²)</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0.25</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Probability estimates are accurate</w:t>
            </w:r>
          </w:p>
        </w:tc>
      </w:tr>
      <w:tr>
        <w:trPr>
          <w:cantSplit/>
        </w:trPr>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ECE (Expected Cal. Error)</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|conf - acc| binned</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0.10</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Confidence is well-calibrated</w:t>
            </w:r>
          </w:p>
        </w:tc>
      </w:tr>
      <w:tr>
        <w:trPr>
          <w:cantSplit/>
        </w:trPr>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PSI (Pop. Stability Index)</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Σ (p_new - p_old) · ln(p_new/p_old)</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0.20</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Feature distribution has not drifted</w:t>
            </w:r>
          </w:p>
        </w:tc>
      </w:tr>
    </w:tbl>
    <w:p>
      <w:pPr>
        <w:spacing w:after="200"/>
      </w:pPr>
    </w:p>
    <w:p>
      <w:pPr>
        <w:pStyle w:val="Heading2"/>
        <w:spacing w:after="160" w:before="320"/>
      </w:pPr>
      <w:bookmarkStart w:id="100036" w:name="_Toc100036"/>
      <w:r>
        <w:rPr>
          <w:rFonts w:ascii="Liberation Serif" w:cs="Liberation Serif" w:eastAsia="Liberation Serif" w:hAnsi="Liberation Serif"/>
          <w:b/>
          <w:bCs/>
          <w:color w:val="14213D"/>
          <w:sz w:val="28"/>
          <w:szCs w:val="28"/>
        </w:rPr>
        <w:t xml:space="preserve">Cross-Session and Cross-Broker Validation</w:t>
      </w:r>
      <w:bookmarkEnd w:id="100036"/>
    </w:p>
    <w:p>
      <w:pPr>
        <w:spacing w:after="160" w:line="312"/>
        <w:jc w:val="both"/>
      </w:pPr>
      <w:r>
        <w:rPr>
          <w:rFonts w:ascii="Liberation Serif" w:cs="Liberation Serif" w:eastAsia="Liberation Serif" w:hAnsi="Liberation Serif"/>
          <w:color w:val="14213D"/>
          <w:sz w:val="22"/>
          <w:szCs w:val="22"/>
        </w:rPr>
        <w:t xml:space="preserve">Cross-session validation verifies that the model generalizes across trading sessions. The model is trained on Asian-session data and tested on European and US sessions (and all permutations). A model that overfits to session-specific characteristics will perform well in-session but poorly cross-session. The gate requires F1 drop &lt; 10% vs same-session performance. Cross-broker validation verifies that the model generalizes across brokers. The model is trained on IC Markets data and tested on Pepperstone (and permutations). The gate requires F1 drop &lt; 15% vs same-broker performance.</w:t>
      </w:r>
    </w:p>
    <w:p>
      <w:pPr>
        <w:pStyle w:val="Heading2"/>
        <w:spacing w:after="160" w:before="320"/>
      </w:pPr>
      <w:bookmarkStart w:id="100037" w:name="_Toc100037"/>
      <w:r>
        <w:rPr>
          <w:rFonts w:ascii="Liberation Serif" w:cs="Liberation Serif" w:eastAsia="Liberation Serif" w:hAnsi="Liberation Serif"/>
          <w:b/>
          <w:bCs/>
          <w:color w:val="14213D"/>
          <w:sz w:val="28"/>
          <w:szCs w:val="28"/>
        </w:rPr>
        <w:t xml:space="preserve">Stability and Adversarial Tests</w:t>
      </w:r>
      <w:bookmarkEnd w:id="100037"/>
    </w:p>
    <w:p>
      <w:pPr>
        <w:spacing w:after="160" w:line="312"/>
        <w:jc w:val="both"/>
      </w:pPr>
      <w:r>
        <w:rPr>
          <w:rFonts w:ascii="Liberation Serif" w:cs="Liberation Serif" w:eastAsia="Liberation Serif" w:hAnsi="Liberation Serif"/>
          <w:color w:val="14213D"/>
          <w:sz w:val="22"/>
          <w:szCs w:val="22"/>
        </w:rPr>
        <w:t xml:space="preserve">Stability tests inject 1% Gaussian noise into the features and measure the prediction flip rate. A robust model should not flip predictions for 1% input perturbations. The gate requires flip rate &lt; 10%. Adversarial tests generate counterfactual features (minimum perturbation to flip the prediction) and verify that the perturbation required is greater than 1σ — i.e., no single feature dominates the prediction to the point where a small change flips it.</w:t>
      </w:r>
    </w:p>
    <w:p>
      <w:pPr>
        <w:pStyle w:val="Heading2"/>
        <w:spacing w:after="160" w:before="320"/>
      </w:pPr>
      <w:bookmarkStart w:id="100038" w:name="_Toc100038"/>
      <w:r>
        <w:rPr>
          <w:rFonts w:ascii="Liberation Serif" w:cs="Liberation Serif" w:eastAsia="Liberation Serif" w:hAnsi="Liberation Serif"/>
          <w:b/>
          <w:bCs/>
          <w:color w:val="14213D"/>
          <w:sz w:val="28"/>
          <w:szCs w:val="28"/>
        </w:rPr>
        <w:t xml:space="preserve">Live Shadow Validation</w:t>
      </w:r>
      <w:bookmarkEnd w:id="100038"/>
    </w:p>
    <w:p>
      <w:pPr>
        <w:spacing w:after="160" w:line="312"/>
        <w:jc w:val="both"/>
      </w:pPr>
      <w:r>
        <w:rPr>
          <w:rFonts w:ascii="Liberation Serif" w:cs="Liberation Serif" w:eastAsia="Liberation Serif" w:hAnsi="Liberation Serif"/>
          <w:color w:val="14213D"/>
          <w:sz w:val="22"/>
          <w:szCs w:val="22"/>
        </w:rPr>
        <w:t xml:space="preserve">Before a new model version is promoted to production, it runs in shadow mode alongside the production model for 1 week. Shadow predictions are logged but not acted on. The gate requires divergence &lt; 15% vs production — if the new model diverges too much, it is held back for investigation. This catches real-world drift that historical validation cannot, and provides a final safety net before production deployment.</w:t>
      </w:r>
    </w:p>
    <w:p>
      <w:pPr>
        <w:pStyle w:val="Heading1"/>
        <w:pageBreakBefore/>
        <w:pBdr>
          <w:bottom w:val="single" w:color="C8102E" w:sz="18" w:space="4"/>
        </w:pBdr>
        <w:spacing w:after="240" w:before="480"/>
      </w:pPr>
      <w:bookmarkStart w:id="100039" w:name="_Toc100039"/>
      <w:r>
        <w:rPr>
          <w:rFonts w:ascii="Liberation Serif" w:cs="Liberation Serif" w:eastAsia="Liberation Serif" w:hAnsi="Liberation Serif"/>
          <w:b/>
          <w:bCs/>
          <w:color w:val="14213D"/>
          <w:sz w:val="40"/>
          <w:szCs w:val="40"/>
        </w:rPr>
        <w:t xml:space="preserve">Chapter 8 — False Positive Controls</w:t>
      </w:r>
      <w:bookmarkEnd w:id="100039"/>
    </w:p>
    <w:p>
      <w:pPr>
        <w:spacing w:after="160" w:line="312"/>
        <w:jc w:val="both"/>
      </w:pPr>
      <w:r>
        <w:rPr>
          <w:rFonts w:ascii="Liberation Serif" w:cs="Liberation Serif" w:eastAsia="Liberation Serif" w:hAnsi="Liberation Serif"/>
          <w:color w:val="14213D"/>
          <w:sz w:val="22"/>
          <w:szCs w:val="22"/>
        </w:rPr>
        <w:t xml:space="preserve">False positive regime flips are the ARDS's primary failure mode. A spurious flip (e.g., classifying a single volatile bar within a trend as VOLATILE) causes the Strategy Coordinator to switch strategies inappropriately, leading to position churn and transaction cost drag. The ARDS deploys six layered controls that reduce the empirical false-positive rate from 38% (raw ensemble) to under 8% (post-controls). The controls are applied sequentially after the ensemble produces its raw output, and only the NewsOverrideException can bypass them.</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Six layered false-positive controls applied in sequence. Empirical FP reduction: 40% + 25% + 15% + 10% + 8% = ~80% total reduction.</w:t>
      </w:r>
    </w:p>
    <w:p>
      <w:pPr>
        <w:pStyle w:val="Heading2"/>
        <w:spacing w:after="160" w:before="320"/>
      </w:pPr>
      <w:bookmarkStart w:id="100040" w:name="_Toc100040"/>
      <w:r>
        <w:rPr>
          <w:rFonts w:ascii="Liberation Serif" w:cs="Liberation Serif" w:eastAsia="Liberation Serif" w:hAnsi="Liberation Serif"/>
          <w:b/>
          <w:bCs/>
          <w:color w:val="14213D"/>
          <w:sz w:val="28"/>
          <w:szCs w:val="28"/>
        </w:rPr>
        <w:t xml:space="preserve">Control 1 — HysteresisGate</w:t>
      </w:r>
      <w:bookmarkEnd w:id="100040"/>
    </w:p>
    <w:p>
      <w:pPr>
        <w:spacing w:after="160" w:line="312"/>
        <w:jc w:val="both"/>
      </w:pPr>
      <w:r>
        <w:rPr>
          <w:rFonts w:ascii="Liberation Serif" w:cs="Liberation Serif" w:eastAsia="Liberation Serif" w:hAnsi="Liberation Serif"/>
          <w:color w:val="14213D"/>
          <w:sz w:val="22"/>
          <w:szCs w:val="22"/>
        </w:rPr>
        <w:t xml:space="preserve">The HysteresisGate applies asymmetric enter/exit thresholds to the probability vector. To enter a new regime, P(new_regime) must exceed 0.65; to exit the current regime, P(current) must drop below 0.50. This creates a "dead zone" between 0.50 and 0.65 where no flip occurs, preventing the model from flipping when probabilities hover near 0.5. This control alone reduces false positives by 40% by catching the most common case: a single bar where the probability distribution is ambiguous and the argmax flips briefly before reverting.</w:t>
      </w:r>
    </w:p>
    <w:p>
      <w:pPr>
        <w:pStyle w:val="Heading2"/>
        <w:spacing w:after="160" w:before="320"/>
      </w:pPr>
      <w:bookmarkStart w:id="100041" w:name="_Toc100041"/>
      <w:r>
        <w:rPr>
          <w:rFonts w:ascii="Liberation Serif" w:cs="Liberation Serif" w:eastAsia="Liberation Serif" w:hAnsi="Liberation Serif"/>
          <w:b/>
          <w:bCs/>
          <w:color w:val="14213D"/>
          <w:sz w:val="28"/>
          <w:szCs w:val="28"/>
        </w:rPr>
        <w:t xml:space="preserve">Control 2 — ConfirmationFilter</w:t>
      </w:r>
      <w:bookmarkEnd w:id="100041"/>
    </w:p>
    <w:p>
      <w:pPr>
        <w:spacing w:after="160" w:line="312"/>
        <w:jc w:val="both"/>
      </w:pPr>
      <w:r>
        <w:rPr>
          <w:rFonts w:ascii="Liberation Serif" w:cs="Liberation Serif" w:eastAsia="Liberation Serif" w:hAnsi="Liberation Serif"/>
          <w:color w:val="14213D"/>
          <w:sz w:val="22"/>
          <w:szCs w:val="22"/>
        </w:rPr>
        <w:t xml:space="preserve">The ConfirmationFilter requires N=3 consecutive bars with the same predicted label before committing to a regime change. The counter resets on any disagreement. This prevents single-bar anomalies (e.g., one volatile bar in a trend) from flipping the regime. The cost is a 3-bar delay in regime detection (~3 minutes on M1), which is acceptable for all regimes except NEWS (which is exempted via the NewsOverrideException). This control reduces false positives by an additional 25%.</w:t>
      </w:r>
    </w:p>
    <w:p>
      <w:pPr>
        <w:pStyle w:val="Heading2"/>
        <w:spacing w:after="160" w:before="320"/>
      </w:pPr>
      <w:bookmarkStart w:id="100042" w:name="_Toc100042"/>
      <w:r>
        <w:rPr>
          <w:rFonts w:ascii="Liberation Serif" w:cs="Liberation Serif" w:eastAsia="Liberation Serif" w:hAnsi="Liberation Serif"/>
          <w:b/>
          <w:bCs/>
          <w:color w:val="14213D"/>
          <w:sz w:val="28"/>
          <w:szCs w:val="28"/>
        </w:rPr>
        <w:t xml:space="preserve">Control 3 — StabilityFilter (Min Dwell Time)</w:t>
      </w:r>
      <w:bookmarkEnd w:id="100042"/>
    </w:p>
    <w:p>
      <w:pPr>
        <w:spacing w:after="160" w:line="312"/>
        <w:jc w:val="both"/>
      </w:pPr>
      <w:r>
        <w:rPr>
          <w:rFonts w:ascii="Liberation Serif" w:cs="Liberation Serif" w:eastAsia="Liberation Serif" w:hAnsi="Liberation Serif"/>
          <w:color w:val="14213D"/>
          <w:sz w:val="22"/>
          <w:szCs w:val="22"/>
        </w:rPr>
        <w:t xml:space="preserve">The StabilityFilter enforces a minimum dwell time of 5 bars per regime. Once a regime is committed, the system will not flip to another regime for at least 5 bars, regardless of what the model predicts. This prevents rapid regime cycling (TREND→VOLATILE→RANGE→TREND in 5 bars) which is almost always a model failure rather than a real market event. This control reduces false positives by 15% and has the side benefit of reducing strategy churn, which lowers transaction costs.</w:t>
      </w:r>
    </w:p>
    <w:p>
      <w:pPr>
        <w:pStyle w:val="Heading2"/>
        <w:spacing w:after="160" w:before="320"/>
      </w:pPr>
      <w:bookmarkStart w:id="100043" w:name="_Toc100043"/>
      <w:r>
        <w:rPr>
          <w:rFonts w:ascii="Liberation Serif" w:cs="Liberation Serif" w:eastAsia="Liberation Serif" w:hAnsi="Liberation Serif"/>
          <w:b/>
          <w:bCs/>
          <w:color w:val="14213D"/>
          <w:sz w:val="28"/>
          <w:szCs w:val="28"/>
        </w:rPr>
        <w:t xml:space="preserve">Control 4 — BootstrapValidator</w:t>
      </w:r>
      <w:bookmarkEnd w:id="100043"/>
    </w:p>
    <w:p>
      <w:pPr>
        <w:spacing w:after="160" w:line="312"/>
        <w:jc w:val="both"/>
      </w:pPr>
      <w:r>
        <w:rPr>
          <w:rFonts w:ascii="Liberation Serif" w:cs="Liberation Serif" w:eastAsia="Liberation Serif" w:hAnsi="Liberation Serif"/>
          <w:color w:val="14213D"/>
          <w:sz w:val="22"/>
          <w:szCs w:val="22"/>
        </w:rPr>
        <w:t xml:space="preserve">The BootstrapValidator resamples the feature vector 1000 times with replacement and recomputes the probability distribution for each sample. If the 95% confidence interval width on the predicted probability exceeds 0.30, the flip is rejected as too uncertain. This catches cases where the model's prediction is not robust to small perturbations in the input features — a sign that the prediction is based on noise rather than signal. This control adds ~5 ms of latency per inference but reduces false positives by 10%.</w:t>
      </w:r>
    </w:p>
    <w:p>
      <w:pPr>
        <w:pStyle w:val="Heading2"/>
        <w:spacing w:after="160" w:before="320"/>
      </w:pPr>
      <w:bookmarkStart w:id="100044" w:name="_Toc100044"/>
      <w:r>
        <w:rPr>
          <w:rFonts w:ascii="Liberation Serif" w:cs="Liberation Serif" w:eastAsia="Liberation Serif" w:hAnsi="Liberation Serif"/>
          <w:b/>
          <w:bCs/>
          <w:color w:val="14213D"/>
          <w:sz w:val="28"/>
          <w:szCs w:val="28"/>
        </w:rPr>
        <w:t xml:space="preserve">Control 5 — CrossTimeframeAgreement</w:t>
      </w:r>
      <w:bookmarkEnd w:id="100044"/>
    </w:p>
    <w:p>
      <w:pPr>
        <w:spacing w:after="160" w:line="312"/>
        <w:jc w:val="both"/>
      </w:pPr>
      <w:r>
        <w:rPr>
          <w:rFonts w:ascii="Liberation Serif" w:cs="Liberation Serif" w:eastAsia="Liberation Serif" w:hAnsi="Liberation Serif"/>
          <w:color w:val="14213D"/>
          <w:sz w:val="22"/>
          <w:szCs w:val="22"/>
        </w:rPr>
        <w:t xml:space="preserve">The CrossTimeframeAgreement control checks the regime prediction on M5, M15, and H1 timeframes and requires at least 2 of 3 to agree with the M1 prediction before committing a flip. This prevents flipping based on M1 noise that does not manifest on higher timeframes. The HTF predictions are cached (updated only on HTF bar close), so this control adds only ~2 ms of latency. It reduces false positives by 8%.</w:t>
      </w:r>
    </w:p>
    <w:p>
      <w:pPr>
        <w:pStyle w:val="Heading2"/>
        <w:spacing w:after="160" w:before="320"/>
      </w:pPr>
      <w:bookmarkStart w:id="100045" w:name="_Toc100045"/>
      <w:r>
        <w:rPr>
          <w:rFonts w:ascii="Liberation Serif" w:cs="Liberation Serif" w:eastAsia="Liberation Serif" w:hAnsi="Liberation Serif"/>
          <w:b/>
          <w:bCs/>
          <w:color w:val="14213D"/>
          <w:sz w:val="28"/>
          <w:szCs w:val="28"/>
        </w:rPr>
        <w:t xml:space="preserve">Control 6 — NewsOverrideException</w:t>
      </w:r>
      <w:bookmarkEnd w:id="100045"/>
    </w:p>
    <w:p>
      <w:pPr>
        <w:spacing w:after="160" w:line="312"/>
        <w:jc w:val="both"/>
      </w:pPr>
      <w:r>
        <w:rPr>
          <w:rFonts w:ascii="Liberation Serif" w:cs="Liberation Serif" w:eastAsia="Liberation Serif" w:hAnsi="Liberation Serif"/>
          <w:color w:val="14213D"/>
          <w:sz w:val="22"/>
          <w:szCs w:val="22"/>
        </w:rPr>
        <w:t xml:space="preserve">The NewsOverrideException is the only control that can bypass C1-C5. If the Rules Engine emits NEWS (veto power), the regime is committed as NEWS immediately, without waiting for confirmation, hysteresis, or cross-timeframe agreement. This reflects the asymmetry of regime misclassification costs: a false NEWS classification (trading paused unnecessarily) is a missed opportunity, but a missed NEWS classification (trading through a news event) can be catastrophic. The veto ensures that the system never trades through a high-impact news event, regardless of what the ML models or other controls say.</w:t>
      </w:r>
    </w:p>
    <w:p>
      <w:pPr>
        <w:pStyle w:val="Heading2"/>
        <w:spacing w:after="160" w:before="320"/>
      </w:pPr>
      <w:bookmarkStart w:id="100046" w:name="_Toc100046"/>
      <w:r>
        <w:rPr>
          <w:rFonts w:ascii="Liberation Serif" w:cs="Liberation Serif" w:eastAsia="Liberation Serif" w:hAnsi="Liberation Serif"/>
          <w:b/>
          <w:bCs/>
          <w:color w:val="14213D"/>
          <w:sz w:val="28"/>
          <w:szCs w:val="28"/>
        </w:rPr>
        <w:t xml:space="preserve">Empirical Performance</w:t>
      </w:r>
      <w:bookmarkEnd w:id="100046"/>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36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Stage</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FP Rate</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Cumulative Reduction</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Latency Cost</w:t>
            </w:r>
          </w:p>
        </w:tc>
      </w:tr>
      <w:tr>
        <w:trPr>
          <w:cantSplit/>
        </w:trPr>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 ensemble (no controls)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38%</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r>
      <w:tr>
        <w:trPr>
          <w:cantSplit/>
        </w:trPr>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C1 HysteresisGate</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r>
      <w:tr>
        <w:trPr>
          <w:cantSplit/>
        </w:trPr>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C2 ConfirmationFilter</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17%</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55%</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 bars</w:t>
            </w:r>
          </w:p>
        </w:tc>
      </w:tr>
      <w:tr>
        <w:trPr>
          <w:cantSplit/>
        </w:trPr>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C3 StabilityFilter</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(state check)</w:t>
            </w:r>
          </w:p>
        </w:tc>
      </w:tr>
      <w:tr>
        <w:trPr>
          <w:cantSplit/>
        </w:trPr>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C4 BootstrapValidator</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13%</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66%</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ms</w:t>
            </w:r>
          </w:p>
        </w:tc>
      </w:tr>
      <w:tr>
        <w:trPr>
          <w:cantSplit/>
        </w:trPr>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C5 CrossTimeframeAgreement</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12%</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68%</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 ms</w:t>
            </w:r>
          </w:p>
        </w:tc>
      </w:tr>
      <w:tr>
        <w:trPr>
          <w:cantSplit/>
        </w:trPr>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After C6 NewsOverride (final)</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8%</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79%</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r>
    </w:tbl>
    <w:p>
      <w:pPr>
        <w:spacing w:after="200"/>
      </w:pPr>
    </w:p>
    <w:p>
      <w:pPr>
        <w:pStyle w:val="Heading1"/>
        <w:pageBreakBefore/>
        <w:pBdr>
          <w:bottom w:val="single" w:color="C8102E" w:sz="18" w:space="4"/>
        </w:pBdr>
        <w:spacing w:after="240" w:before="480"/>
      </w:pPr>
      <w:bookmarkStart w:id="100047" w:name="_Toc100047"/>
      <w:r>
        <w:rPr>
          <w:rFonts w:ascii="Liberation Serif" w:cs="Liberation Serif" w:eastAsia="Liberation Serif" w:hAnsi="Liberation Serif"/>
          <w:b/>
          <w:bCs/>
          <w:color w:val="14213D"/>
          <w:sz w:val="40"/>
          <w:szCs w:val="40"/>
        </w:rPr>
        <w:t xml:space="preserve">Chapter 9 — Backtest Framework</w:t>
      </w:r>
      <w:bookmarkEnd w:id="100047"/>
    </w:p>
    <w:p>
      <w:pPr>
        <w:spacing w:after="160" w:line="312"/>
        <w:jc w:val="both"/>
      </w:pPr>
      <w:r>
        <w:rPr>
          <w:rFonts w:ascii="Liberation Serif" w:cs="Liberation Serif" w:eastAsia="Liberation Serif" w:hAnsi="Liberation Serif"/>
          <w:color w:val="14213D"/>
          <w:sz w:val="22"/>
          <w:szCs w:val="22"/>
        </w:rPr>
        <w:t xml:space="preserve">The ARDS backtest framework evaluates regime detection quality and regime-conditioned strategy performance. It replays 24 months of historical data across 6 brokers, runs the ARDS and three strategies in simulation, and produces a strategy × regime performance matrix that shows which strategies work in which regimes. The framework also runs Monte Carlo simulations to produce confidence intervals on all metrics.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Backtest framework: replay engine → per-regime attribution → Monte Carlo → report generator. Includes example strategy × regime Sharpe matrix.</w:t>
      </w:r>
    </w:p>
    <w:p>
      <w:pPr>
        <w:pStyle w:val="Heading2"/>
        <w:spacing w:after="160" w:before="320"/>
      </w:pPr>
      <w:bookmarkStart w:id="100048" w:name="_Toc100048"/>
      <w:r>
        <w:rPr>
          <w:rFonts w:ascii="Liberation Serif" w:cs="Liberation Serif" w:eastAsia="Liberation Serif" w:hAnsi="Liberation Serif"/>
          <w:b/>
          <w:bCs/>
          <w:color w:val="14213D"/>
          <w:sz w:val="28"/>
          <w:szCs w:val="28"/>
        </w:rPr>
        <w:t xml:space="preserve">Replay Engine</w:t>
      </w:r>
      <w:bookmarkEnd w:id="100048"/>
    </w:p>
    <w:p>
      <w:pPr>
        <w:spacing w:after="160" w:line="312"/>
        <w:jc w:val="both"/>
      </w:pPr>
      <w:r>
        <w:rPr>
          <w:rFonts w:ascii="Liberation Serif" w:cs="Liberation Serif" w:eastAsia="Liberation Serif" w:hAnsi="Liberation Serif"/>
          <w:color w:val="14213D"/>
          <w:sz w:val="22"/>
          <w:szCs w:val="22"/>
        </w:rPr>
        <w:t xml:space="preserve">The Replay Engine streams historical ticks and bars in temporal order through the ARDS and three strategies. The ARDS predicts the regime at each bar close; the strategies receive the regime label and features and emit trading signals; the SimulatedExecutor fills the signals with realistic slippage and commission. Every trade is logged with its entry-time regime, the feature vector at entry, the model outputs, SHAP values, and realized PnL. This per-trade log is the input to all subsequent analysis.</w:t>
      </w:r>
    </w:p>
    <w:p>
      <w:pPr>
        <w:pStyle w:val="Heading2"/>
        <w:spacing w:after="160" w:before="320"/>
      </w:pPr>
      <w:bookmarkStart w:id="100049" w:name="_Toc100049"/>
      <w:r>
        <w:rPr>
          <w:rFonts w:ascii="Liberation Serif" w:cs="Liberation Serif" w:eastAsia="Liberation Serif" w:hAnsi="Liberation Serif"/>
          <w:b/>
          <w:bCs/>
          <w:color w:val="14213D"/>
          <w:sz w:val="28"/>
          <w:szCs w:val="28"/>
        </w:rPr>
        <w:t xml:space="preserve">Per-Regime Attribution</w:t>
      </w:r>
      <w:bookmarkEnd w:id="100049"/>
    </w:p>
    <w:p>
      <w:pPr>
        <w:spacing w:after="160" w:line="312"/>
        <w:jc w:val="both"/>
      </w:pPr>
      <w:r>
        <w:rPr>
          <w:rFonts w:ascii="Liberation Serif" w:cs="Liberation Serif" w:eastAsia="Liberation Serif" w:hAnsi="Liberation Serif"/>
          <w:color w:val="14213D"/>
          <w:sz w:val="22"/>
          <w:szCs w:val="22"/>
        </w:rPr>
        <w:t xml:space="preserve">Per-Regime Attribution segments all trades by the regime at entry time and computes per-regime performance metrics: Sharpe ratio, profit factor, maximum drawdown, win rate, and expectancy. This produces a strategy × regime matrix showing which strategies generate alpha in which regimes. The matrix is the primary output of the backtest framework — it tells the Strategy Coordinator which strategies to activate for each regime. A typical finding: momentum strategies have Sharpe &gt; 2 in TREND but &lt; 0 in RANGE; mean reversion has the opposite pattern; news-aware strategies have Sharpe &gt; 2 in NEWS but are neutral in other regimes.</w:t>
      </w:r>
    </w:p>
    <w:p>
      <w:pPr>
        <w:pStyle w:val="Heading2"/>
        <w:spacing w:after="160" w:before="320"/>
      </w:pPr>
      <w:bookmarkStart w:id="100050" w:name="_Toc100050"/>
      <w:r>
        <w:rPr>
          <w:rFonts w:ascii="Liberation Serif" w:cs="Liberation Serif" w:eastAsia="Liberation Serif" w:hAnsi="Liberation Serif"/>
          <w:b/>
          <w:bCs/>
          <w:color w:val="14213D"/>
          <w:sz w:val="28"/>
          <w:szCs w:val="28"/>
        </w:rPr>
        <w:t xml:space="preserve">Monte Carlo Simulation</w:t>
      </w:r>
      <w:bookmarkEnd w:id="100050"/>
    </w:p>
    <w:p>
      <w:pPr>
        <w:spacing w:after="160" w:line="312"/>
        <w:jc w:val="both"/>
      </w:pPr>
      <w:r>
        <w:rPr>
          <w:rFonts w:ascii="Liberation Serif" w:cs="Liberation Serif" w:eastAsia="Liberation Serif" w:hAnsi="Liberation Serif"/>
          <w:color w:val="14213D"/>
          <w:sz w:val="22"/>
          <w:szCs w:val="22"/>
        </w:rPr>
        <w:t xml:space="preserve">Monte Carlo simulation produces confidence intervals on all performance metrics. The simulation generates 1000 randomized trade sequences via block bootstrap (20-bar blocks to preserve autocorrelation), recomputes PF/Sharpe/MaxDD/RoR for each path, and reports the 95% confidence interval and key percentiles (p5, p25, p50, p75, p99). The risk-of-ruin (RoR) — the probability of hitting a 50% drawdown — is computed from the Monte Carlo distribution. CI/CD gates require RoR p95 &lt; 1% and Sharpe p5 &gt; 1.0.</w:t>
      </w:r>
    </w:p>
    <w:p>
      <w:pPr>
        <w:pStyle w:val="Heading2"/>
        <w:spacing w:after="160" w:before="320"/>
      </w:pPr>
      <w:bookmarkStart w:id="100051" w:name="_Toc100051"/>
      <w:r>
        <w:rPr>
          <w:rFonts w:ascii="Liberation Serif" w:cs="Liberation Serif" w:eastAsia="Liberation Serif" w:hAnsi="Liberation Serif"/>
          <w:b/>
          <w:bCs/>
          <w:color w:val="14213D"/>
          <w:sz w:val="28"/>
          <w:szCs w:val="28"/>
        </w:rPr>
        <w:t xml:space="preserve">Confusion Matrix</w:t>
      </w:r>
      <w:bookmarkEnd w:id="100051"/>
    </w:p>
    <w:p>
      <w:pPr>
        <w:spacing w:after="160" w:line="312"/>
        <w:jc w:val="both"/>
      </w:pPr>
      <w:r>
        <w:rPr>
          <w:rFonts w:ascii="Liberation Serif" w:cs="Liberation Serif" w:eastAsia="Liberation Serif" w:hAnsi="Liberation Serif"/>
          <w:color w:val="14213D"/>
          <w:sz w:val="22"/>
          <w:szCs w:val="22"/>
        </w:rPr>
        <w:t xml:space="preserve">The confusion matrix compares the ARDS's predicted regime to ex-post "ground truth" (defined by forward returns). A 4×4 matrix shows the count of each (predicted, actual) pair. Per-class precision and recall are computed. The CI gate requires macro F1 &gt; 0.70 and per-class F1 &gt; 0.60. The confusion matrix is the primary tool for diagnosing which regimes the model confuses with each other — common confusions include VOLATILE ↔ NEWS (both have high ATR) and RANGE ↔ early TREND (both have low ADX before the trend establishes).</w:t>
      </w:r>
    </w:p>
    <w:p>
      <w:pPr>
        <w:pStyle w:val="Heading2"/>
        <w:spacing w:after="160" w:before="320"/>
      </w:pPr>
      <w:bookmarkStart w:id="100052" w:name="_Toc100052"/>
      <w:r>
        <w:rPr>
          <w:rFonts w:ascii="Liberation Serif" w:cs="Liberation Serif" w:eastAsia="Liberation Serif" w:hAnsi="Liberation Serif"/>
          <w:b/>
          <w:bCs/>
          <w:color w:val="14213D"/>
          <w:sz w:val="28"/>
          <w:szCs w:val="28"/>
        </w:rPr>
        <w:t xml:space="preserve">SHAP Summary</w:t>
      </w:r>
      <w:bookmarkEnd w:id="100052"/>
    </w:p>
    <w:p>
      <w:pPr>
        <w:spacing w:after="160" w:line="312"/>
        <w:jc w:val="both"/>
      </w:pPr>
      <w:r>
        <w:rPr>
          <w:rFonts w:ascii="Liberation Serif" w:cs="Liberation Serif" w:eastAsia="Liberation Serif" w:hAnsi="Liberation Serif"/>
          <w:color w:val="14213D"/>
          <w:sz w:val="22"/>
          <w:szCs w:val="22"/>
        </w:rPr>
        <w:t xml:space="preserve">The SHAP summary aggregates SHAP values across all predictions in the backtest, ranking features by their average absolute contribution to each regime. This produces a feature importance plot per regime, showing which features drive each classification. The CI gate requires that no single feature contributes more than 50% — a model overly dependent on one feature is fragile. The SHAP summary also informs feature engineering: features that consistently rank low are candidates for removal, while features that rank high but only for specific regimes may benefit from regime-specific engineering.</w:t>
      </w:r>
    </w:p>
    <w:p>
      <w:pPr>
        <w:pStyle w:val="Heading2"/>
        <w:spacing w:after="160" w:before="320"/>
      </w:pPr>
      <w:bookmarkStart w:id="100053" w:name="_Toc100053"/>
      <w:r>
        <w:rPr>
          <w:rFonts w:ascii="Liberation Serif" w:cs="Liberation Serif" w:eastAsia="Liberation Serif" w:hAnsi="Liberation Serif"/>
          <w:b/>
          <w:bCs/>
          <w:color w:val="14213D"/>
          <w:sz w:val="28"/>
          <w:szCs w:val="28"/>
        </w:rPr>
        <w:t xml:space="preserve">CI/CD Integration</w:t>
      </w:r>
      <w:bookmarkEnd w:id="100053"/>
    </w:p>
    <w:p>
      <w:pPr>
        <w:spacing w:after="160" w:line="312"/>
        <w:jc w:val="both"/>
      </w:pPr>
      <w:r>
        <w:rPr>
          <w:rFonts w:ascii="Liberation Serif" w:cs="Liberation Serif" w:eastAsia="Liberation Serif" w:hAnsi="Liberation Serif"/>
          <w:color w:val="14213D"/>
          <w:sz w:val="22"/>
          <w:szCs w:val="22"/>
        </w:rPr>
        <w:t xml:space="preserve">The backtest framework is integrated into CI/CD as a mandatory gate. Every PR that touches ARDS code, features, or models runs the full backtest (24mo × 6 brokers, ~30 minutes). A PR is promoted to canary only if it meets all gates: macro F1 &gt; 0.70, per-class F1 &gt; 0.60, RoR p95 &lt; 1%, Sharpe p5 &gt; 1.0, no regime with Sharpe &lt; -1.0, and EQS regression &lt; 5% vs baseline. This ensures that regime detection quality never regresses in production.</w:t>
      </w:r>
    </w:p>
    <w:p>
      <w:pPr>
        <w:pStyle w:val="Heading1"/>
        <w:pageBreakBefore/>
        <w:pBdr>
          <w:bottom w:val="single" w:color="C8102E" w:sz="18" w:space="4"/>
        </w:pBdr>
        <w:spacing w:after="240" w:before="480"/>
      </w:pPr>
      <w:bookmarkStart w:id="100054" w:name="_Toc100054"/>
      <w:r>
        <w:rPr>
          <w:rFonts w:ascii="Liberation Serif" w:cs="Liberation Serif" w:eastAsia="Liberation Serif" w:hAnsi="Liberation Serif"/>
          <w:b/>
          <w:bCs/>
          <w:color w:val="14213D"/>
          <w:sz w:val="40"/>
          <w:szCs w:val="40"/>
        </w:rPr>
        <w:t xml:space="preserve">Chapter 10 — Regime Transition Map</w:t>
      </w:r>
      <w:bookmarkEnd w:id="100054"/>
    </w:p>
    <w:p>
      <w:pPr>
        <w:spacing w:after="160" w:line="312"/>
        <w:jc w:val="both"/>
      </w:pPr>
      <w:r>
        <w:rPr>
          <w:rFonts w:ascii="Liberation Serif" w:cs="Liberation Serif" w:eastAsia="Liberation Serif" w:hAnsi="Liberation Serif"/>
          <w:color w:val="14213D"/>
          <w:sz w:val="22"/>
          <w:szCs w:val="22"/>
        </w:rPr>
        <w:t xml:space="preserve">The regime transition map documents the empirical probabilities of transitioning between regimes, derived from 24 months of labeled historical data. These probabilities are used by the HMM's state transition matrix and by the Strategy Coordinator to anticipate likely next regimes and pre-position accordingly. The map also shows the average dwell time per regime — how long the market typically stays in each regime before transitioning.</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Regime transition map with empirical probabilities. Self-transitions (regime persistence) are strong for TREND/RANGE, weak for NEWS. NEWS→VOLATILE is the most common post-news transition (45%).</w:t>
      </w:r>
    </w:p>
    <w:p>
      <w:pPr>
        <w:pStyle w:val="Heading2"/>
        <w:spacing w:after="160" w:before="320"/>
      </w:pPr>
      <w:bookmarkStart w:id="100055" w:name="_Toc100055"/>
      <w:r>
        <w:rPr>
          <w:rFonts w:ascii="Liberation Serif" w:cs="Liberation Serif" w:eastAsia="Liberation Serif" w:hAnsi="Liberation Serif"/>
          <w:b/>
          <w:bCs/>
          <w:color w:val="14213D"/>
          <w:sz w:val="28"/>
          <w:szCs w:val="28"/>
        </w:rPr>
        <w:t xml:space="preserve">Regime Persistence</w:t>
      </w:r>
      <w:bookmarkEnd w:id="100055"/>
    </w:p>
    <w:p>
      <w:pPr>
        <w:spacing w:after="160" w:line="312"/>
        <w:jc w:val="both"/>
      </w:pPr>
      <w:r>
        <w:rPr>
          <w:rFonts w:ascii="Liberation Serif" w:cs="Liberation Serif" w:eastAsia="Liberation Serif" w:hAnsi="Liberation Serif"/>
          <w:color w:val="14213D"/>
          <w:sz w:val="22"/>
          <w:szCs w:val="22"/>
        </w:rPr>
        <w:t xml:space="preserve">TREND and RANGE are highly persistent, with self-transition probabilities of 0.82 and 0.78 respectively. This persistence is what makes regime detection useful: once a regime is established, it typically lasts 18-24 bars (M1 timeframe), giving the strategy ample time to generate alpha. VOLATILE is moderately persistent (0.45 self-transition, 6-bar average dwell) — volatility clustering (GARCH effect) causes vol to persist, but it typically decays within 6 bars. NEWS is the least persistent (0.15 self-transition, 3-bar average dwell) — news events are short-lived by nature, and the market transitions to a new regime (typically VOLATILE) within 1-3 bars.</w:t>
      </w:r>
    </w:p>
    <w:p>
      <w:pPr>
        <w:pStyle w:val="Heading2"/>
        <w:spacing w:after="160" w:before="320"/>
      </w:pPr>
      <w:bookmarkStart w:id="100056" w:name="_Toc100056"/>
      <w:r>
        <w:rPr>
          <w:rFonts w:ascii="Liberation Serif" w:cs="Liberation Serif" w:eastAsia="Liberation Serif" w:hAnsi="Liberation Serif"/>
          <w:b/>
          <w:bCs/>
          <w:color w:val="14213D"/>
          <w:sz w:val="28"/>
          <w:szCs w:val="28"/>
        </w:rPr>
        <w:t xml:space="preserve">Common Transitions</w:t>
      </w:r>
      <w:bookmarkEnd w:id="100056"/>
    </w:p>
    <w:p>
      <w:pPr>
        <w:spacing w:after="160" w:line="312"/>
        <w:jc w:val="both"/>
      </w:pPr>
      <w:r>
        <w:rPr>
          <w:rFonts w:ascii="Liberation Serif" w:cs="Liberation Serif" w:eastAsia="Liberation Serif" w:hAnsi="Liberation Serif"/>
          <w:color w:val="14213D"/>
          <w:sz w:val="22"/>
          <w:szCs w:val="22"/>
        </w:rPr>
        <w:t xml:space="preserve">The most common cross-regime transitions are RANGE→TREND (breakout, 0.12 probability), TREND→RANGE (exhaustion, 0.10), and VOLATILE→RANGE (vol decay, 0.25). These transitions are economically meaningful and well-captured by the ARDS features: breakouts are signaled by BBW expansion + ADX rise; exhaustion by ADX drop + EMA slope flattening; vol decay by ATR percentile drop. The Strategy Coordinator uses these transition probabilities to anticipate likely next regimes — e.g., when in VOLATILE, it pre-positions for the likely transition to RANGE (0.25) or TREND (0.18) by enabling the corresponding strategies in shadow mode.</w:t>
      </w:r>
    </w:p>
    <w:p>
      <w:pPr>
        <w:pStyle w:val="Heading2"/>
        <w:spacing w:after="160" w:before="320"/>
      </w:pPr>
      <w:bookmarkStart w:id="100057" w:name="_Toc100057"/>
      <w:r>
        <w:rPr>
          <w:rFonts w:ascii="Liberation Serif" w:cs="Liberation Serif" w:eastAsia="Liberation Serif" w:hAnsi="Liberation Serif"/>
          <w:b/>
          <w:bCs/>
          <w:color w:val="14213D"/>
          <w:sz w:val="28"/>
          <w:szCs w:val="28"/>
        </w:rPr>
        <w:t xml:space="preserve">NEWS Transitions</w:t>
      </w:r>
      <w:bookmarkEnd w:id="100057"/>
    </w:p>
    <w:p>
      <w:pPr>
        <w:spacing w:after="160" w:line="312"/>
        <w:jc w:val="both"/>
      </w:pPr>
      <w:r>
        <w:rPr>
          <w:rFonts w:ascii="Liberation Serif" w:cs="Liberation Serif" w:eastAsia="Liberation Serif" w:hAnsi="Liberation Serif"/>
          <w:color w:val="14213D"/>
          <w:sz w:val="22"/>
          <w:szCs w:val="22"/>
        </w:rPr>
        <w:t xml:space="preserve">NEWS has unique transition characteristics. The most common post-news transition is NEWS→VOLATILE (0.45) — the market digests the news with elevated volatility for several bars. The second most common is NEWS→TREND (0.25) — the news establishes a new directional move. NEWS→RANGE (0.15) is less common — typically only when the news was already priced in. NEWS→NEWS (0.15) occurs during multi-day news cycles (e.g., FOMC week). The Strategy Coordinator uses these probabilities to manage the post-news transition: during NEWS, positions are flattened or hedged; on transition to VOLATILE, position size is reduced; on transition to TREND, momentum strategies are activated; on transition to RANGE, mean reversion is activated.</w:t>
      </w:r>
    </w:p>
    <w:p>
      <w:pPr>
        <w:pStyle w:val="Heading1"/>
        <w:pageBreakBefore/>
        <w:pBdr>
          <w:bottom w:val="single" w:color="C8102E" w:sz="18" w:space="4"/>
        </w:pBdr>
        <w:spacing w:after="240" w:before="480"/>
      </w:pPr>
      <w:bookmarkStart w:id="100058" w:name="_Toc100058"/>
      <w:r>
        <w:rPr>
          <w:rFonts w:ascii="Liberation Serif" w:cs="Liberation Serif" w:eastAsia="Liberation Serif" w:hAnsi="Liberation Serif"/>
          <w:b/>
          <w:bCs/>
          <w:color w:val="14213D"/>
          <w:sz w:val="40"/>
          <w:szCs w:val="40"/>
        </w:rPr>
        <w:t xml:space="preserve">Chapter 11 — Adaptive Learning &amp; Retraining</w:t>
      </w:r>
      <w:bookmarkEnd w:id="100058"/>
    </w:p>
    <w:p>
      <w:pPr>
        <w:spacing w:after="160" w:line="312"/>
        <w:jc w:val="both"/>
      </w:pPr>
      <w:r>
        <w:rPr>
          <w:rFonts w:ascii="Liberation Serif" w:cs="Liberation Serif" w:eastAsia="Liberation Serif" w:hAnsi="Liberation Serif"/>
          <w:color w:val="14213D"/>
          <w:sz w:val="22"/>
          <w:szCs w:val="22"/>
        </w:rPr>
        <w:t xml:space="preserve">The ARDS is designed for adaptive operation. Market structure evolves over time — new participants, regulatory changes, macroeconomic shifts — and a static model would degrade. The system addresses this through three retraining cadences: per-session HMM retraining, weekly LightGBM retraining, and quarterly Rules Engine review. Each cadence is calibrated to the model's sensitivity to non-stationarity and the cost of retraining.</w:t>
      </w:r>
    </w:p>
    <w:p>
      <w:pPr>
        <w:pStyle w:val="Heading2"/>
        <w:spacing w:after="160" w:before="320"/>
      </w:pPr>
      <w:bookmarkStart w:id="100059" w:name="_Toc100059"/>
      <w:r>
        <w:rPr>
          <w:rFonts w:ascii="Liberation Serif" w:cs="Liberation Serif" w:eastAsia="Liberation Serif" w:hAnsi="Liberation Serif"/>
          <w:b/>
          <w:bCs/>
          <w:color w:val="14213D"/>
          <w:sz w:val="28"/>
          <w:szCs w:val="28"/>
        </w:rPr>
        <w:t xml:space="preserve">Per-Session HMM Retraining</w:t>
      </w:r>
      <w:bookmarkEnd w:id="100059"/>
    </w:p>
    <w:p>
      <w:pPr>
        <w:spacing w:after="160" w:line="312"/>
        <w:jc w:val="both"/>
      </w:pPr>
      <w:r>
        <w:rPr>
          <w:rFonts w:ascii="Liberation Serif" w:cs="Liberation Serif" w:eastAsia="Liberation Serif" w:hAnsi="Liberation Serif"/>
          <w:color w:val="14213D"/>
          <w:sz w:val="22"/>
          <w:szCs w:val="22"/>
        </w:rPr>
        <w:t xml:space="preserve">The HMM is retrained per session (Asian, European, US) because each session has distinct regime characteristics. Asian session is typically RANGE-dominated (low liquidity, directionless); European session has more TREND (London open brings directional flow); US session has the most VOLATILE (US economic releases). Retraining per session allows the HMM to capture these session-specific emission distributions and transition matrices. The retrain uses the last 90 days of session-specific data and runs at session open (00:00 UTC for Asia, 07:00 UTC for EU, 13:00 UTC for US), completing in under 30 seconds.</w:t>
      </w:r>
    </w:p>
    <w:p>
      <w:pPr>
        <w:pStyle w:val="Heading2"/>
        <w:spacing w:after="160" w:before="320"/>
      </w:pPr>
      <w:bookmarkStart w:id="100060" w:name="_Toc100060"/>
      <w:r>
        <w:rPr>
          <w:rFonts w:ascii="Liberation Serif" w:cs="Liberation Serif" w:eastAsia="Liberation Serif" w:hAnsi="Liberation Serif"/>
          <w:b/>
          <w:bCs/>
          <w:color w:val="14213D"/>
          <w:sz w:val="28"/>
          <w:szCs w:val="28"/>
        </w:rPr>
        <w:t xml:space="preserve">Weekly LightGBM Retraining</w:t>
      </w:r>
      <w:bookmarkEnd w:id="100060"/>
    </w:p>
    <w:p>
      <w:pPr>
        <w:spacing w:after="160" w:line="312"/>
        <w:jc w:val="both"/>
      </w:pPr>
      <w:r>
        <w:rPr>
          <w:rFonts w:ascii="Liberation Serif" w:cs="Liberation Serif" w:eastAsia="Liberation Serif" w:hAnsi="Liberation Serif"/>
          <w:color w:val="14213D"/>
          <w:sz w:val="22"/>
          <w:szCs w:val="22"/>
        </w:rPr>
        <w:t xml:space="preserve">The LightGBM model is retrained weekly on a 24-month rolling window. Weekly cadence balances freshness against stability — more frequent retraining would introduce noise and make model behavior less predictable; less frequent retraining would allow the model to go stale. The retrain runs on Sunday 22:00 UTC (before market open) and takes approximately 15 minutes. The new model is validated against the previous model via walk-forward backtest before promotion; if the new model fails validation (F1 drop &gt; 5%), the previous model is retained and an alert is fired.</w:t>
      </w:r>
    </w:p>
    <w:p>
      <w:pPr>
        <w:pStyle w:val="Heading2"/>
        <w:spacing w:after="160" w:before="320"/>
      </w:pPr>
      <w:bookmarkStart w:id="100061" w:name="_Toc100061"/>
      <w:r>
        <w:rPr>
          <w:rFonts w:ascii="Liberation Serif" w:cs="Liberation Serif" w:eastAsia="Liberation Serif" w:hAnsi="Liberation Serif"/>
          <w:b/>
          <w:bCs/>
          <w:color w:val="14213D"/>
          <w:sz w:val="28"/>
          <w:szCs w:val="28"/>
        </w:rPr>
        <w:t xml:space="preserve">Quarterly Rules Engine Review</w:t>
      </w:r>
      <w:bookmarkEnd w:id="100061"/>
    </w:p>
    <w:p>
      <w:pPr>
        <w:spacing w:after="160" w:line="312"/>
        <w:jc w:val="both"/>
      </w:pPr>
      <w:r>
        <w:rPr>
          <w:rFonts w:ascii="Liberation Serif" w:cs="Liberation Serif" w:eastAsia="Liberation Serif" w:hAnsi="Liberation Serif"/>
          <w:color w:val="14213D"/>
          <w:sz w:val="22"/>
          <w:szCs w:val="22"/>
        </w:rPr>
        <w:t xml:space="preserve">The Rules Engine is manually maintained and reviewed quarterly. The review examines which rules fired most often, which were most accurate, and which should be added, modified, or removed. The review also considers new market scenarios (e.g., a new type of news event) that may require new rules. The quarterly cadence reflects the fact that rules change slowly — they encode human knowledge that does not shift weekly. All rule changes are version-controlled in git, peer-reviewed, and tested via the backtest framework before deployment.</w:t>
      </w:r>
    </w:p>
    <w:p>
      <w:pPr>
        <w:pStyle w:val="Heading2"/>
        <w:spacing w:after="160" w:before="320"/>
      </w:pPr>
      <w:bookmarkStart w:id="100062" w:name="_Toc100062"/>
      <w:r>
        <w:rPr>
          <w:rFonts w:ascii="Liberation Serif" w:cs="Liberation Serif" w:eastAsia="Liberation Serif" w:hAnsi="Liberation Serif"/>
          <w:b/>
          <w:bCs/>
          <w:color w:val="14213D"/>
          <w:sz w:val="28"/>
          <w:szCs w:val="28"/>
        </w:rPr>
        <w:t xml:space="preserve">Drift Detection and Auto-Retrain</w:t>
      </w:r>
      <w:bookmarkEnd w:id="100062"/>
    </w:p>
    <w:p>
      <w:pPr>
        <w:spacing w:after="160" w:line="312"/>
        <w:jc w:val="both"/>
      </w:pPr>
      <w:r>
        <w:rPr>
          <w:rFonts w:ascii="Liberation Serif" w:cs="Liberation Serif" w:eastAsia="Liberation Serif" w:hAnsi="Liberation Serif"/>
          <w:color w:val="14213D"/>
          <w:sz w:val="22"/>
          <w:szCs w:val="22"/>
        </w:rPr>
        <w:t xml:space="preserve">In addition to the scheduled retraining, the system monitors feature drift via the Population Stability Index (PSI). PSI is computed daily for each feature, comparing the current 7-day feature distribution to the training distribution. If PSI exceeds 0.20 for any feature, an alert is fired; if PSI exceeds 0.25, an automatic retrain is triggered (outside the normal weekly cadence). This catches cases where market structure shifts abruptly — e.g., a central bank regime change that alters the vol characteristics of XAUUSD — and ensures the model adapts quickly rather than waiting for the next scheduled retrain.</w:t>
      </w:r>
    </w:p>
    <w:p>
      <w:pPr>
        <w:pStyle w:val="Heading1"/>
        <w:pageBreakBefore/>
        <w:pBdr>
          <w:bottom w:val="single" w:color="C8102E" w:sz="18" w:space="4"/>
        </w:pBdr>
        <w:spacing w:after="240" w:before="480"/>
      </w:pPr>
      <w:bookmarkStart w:id="100063" w:name="_Toc100063"/>
      <w:r>
        <w:rPr>
          <w:rFonts w:ascii="Liberation Serif" w:cs="Liberation Serif" w:eastAsia="Liberation Serif" w:hAnsi="Liberation Serif"/>
          <w:b/>
          <w:bCs/>
          <w:color w:val="14213D"/>
          <w:sz w:val="40"/>
          <w:szCs w:val="40"/>
        </w:rPr>
        <w:t xml:space="preserve">Chapter 12 — Performance &amp; Service Level Objectives</w:t>
      </w:r>
      <w:bookmarkEnd w:id="100063"/>
    </w:p>
    <w:p>
      <w:pPr>
        <w:spacing w:after="160" w:line="312"/>
        <w:jc w:val="both"/>
      </w:pPr>
      <w:r>
        <w:rPr>
          <w:rFonts w:ascii="Liberation Serif" w:cs="Liberation Serif" w:eastAsia="Liberation Serif" w:hAnsi="Liberation Serif"/>
          <w:color w:val="14213D"/>
          <w:sz w:val="22"/>
          <w:szCs w:val="22"/>
        </w:rPr>
        <w:t xml:space="preserve">The ARDS operates under strict performance and SLO targets. These targets are enforced as CI gates and monitored continuously in production. A breach triggers an alert and, for critical SLOs, automatic mitigation (e.g., throttling non-critical features if latency exceeds budget).</w:t>
      </w:r>
    </w:p>
    <w:p>
      <w:pPr>
        <w:pStyle w:val="Heading2"/>
        <w:spacing w:after="160" w:before="320"/>
      </w:pPr>
      <w:bookmarkStart w:id="100064" w:name="_Toc100064"/>
      <w:r>
        <w:rPr>
          <w:rFonts w:ascii="Liberation Serif" w:cs="Liberation Serif" w:eastAsia="Liberation Serif" w:hAnsi="Liberation Serif"/>
          <w:b/>
          <w:bCs/>
          <w:color w:val="14213D"/>
          <w:sz w:val="28"/>
          <w:szCs w:val="28"/>
        </w:rPr>
        <w:t xml:space="preserve">Latency Budget</w:t>
      </w:r>
      <w:bookmarkEnd w:id="100064"/>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32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Stage</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p50 (ms)</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p99 (ms)</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Budget (ms)</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Notes</w:t>
            </w:r>
          </w:p>
        </w:tc>
      </w:tr>
      <w:tr>
        <w:trPr>
          <w:cantSplit/>
        </w:trPr>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Feature compute (8 features)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Parallel; ADX is slowest</w:t>
            </w:r>
          </w:p>
        </w:tc>
      </w:tr>
      <w:tr>
        <w:trPr>
          <w:cantSplit/>
        </w:trPr>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HMM inference (Viterbi + forward)</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Single-threaded</w:t>
            </w:r>
          </w:p>
        </w:tc>
      </w:tr>
      <w:tr>
        <w:trPr>
          <w:cantSplit/>
        </w:trPr>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LightGBM inference + SHAP</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trees · SHAP TreeExplainer</w:t>
            </w:r>
          </w:p>
        </w:tc>
      </w:tr>
      <w:tr>
        <w:trPr>
          <w:cantSplit/>
        </w:trPr>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Rules Engine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0.5</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Pure Python if-then</w:t>
            </w:r>
          </w:p>
        </w:tc>
      </w:tr>
      <w:tr>
        <w:trPr>
          <w:cantSplit/>
        </w:trPr>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EnsembleVoter</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 sum</w:t>
            </w:r>
          </w:p>
        </w:tc>
      </w:tr>
      <w:tr>
        <w:trPr>
          <w:cantSplit/>
        </w:trPr>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False positive controls (C1-C5)</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12</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BootstrapValidator dominates</w:t>
            </w:r>
          </w:p>
        </w:tc>
      </w:tr>
      <w:tr>
        <w:trPr>
          <w:cantSplit/>
        </w:trPr>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 (per bar close)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46</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p99 budget met</w:t>
            </w:r>
          </w:p>
        </w:tc>
      </w:tr>
    </w:tbl>
    <w:p>
      <w:pPr>
        <w:spacing w:after="200"/>
      </w:pPr>
    </w:p>
    <w:p>
      <w:pPr>
        <w:pStyle w:val="Heading2"/>
        <w:spacing w:after="160" w:before="320"/>
      </w:pPr>
      <w:bookmarkStart w:id="100065" w:name="_Toc100065"/>
      <w:r>
        <w:rPr>
          <w:rFonts w:ascii="Liberation Serif" w:cs="Liberation Serif" w:eastAsia="Liberation Serif" w:hAnsi="Liberation Serif"/>
          <w:b/>
          <w:bCs/>
          <w:color w:val="14213D"/>
          <w:sz w:val="28"/>
          <w:szCs w:val="28"/>
        </w:rPr>
        <w:t xml:space="preserve">Accuracy SLOs</w:t>
      </w:r>
      <w:bookmarkEnd w:id="100065"/>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4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Current (24mo backtest)</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CI Gate</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Macro F1</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0.70</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0.76</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Per-class F1 (TREND)</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0.60</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0.81</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Per-class F1 (RANGE)</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0.60</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0.74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Per-class F1 (VOLATILE)</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0.60</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0.68</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Per-class F1 (NEWS)</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0.60</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0.83</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 (Rules veto helps)</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False positive rate</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10%</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7.8%</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 flapping rate</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5/100 bars</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3.2/100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dwell time</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&gt; 8 bars</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14 bars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Brier score</w:t>
            </w:r>
          </w:p>
        </w:tc>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0.25</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0.19</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ECE (calibration)</w:t>
            </w:r>
          </w:p>
        </w:tc>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0.10</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0.06</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bl>
    <w:p>
      <w:pPr>
        <w:spacing w:after="200"/>
      </w:pPr>
    </w:p>
    <w:p>
      <w:pPr>
        <w:pStyle w:val="Heading2"/>
        <w:spacing w:after="160" w:before="320"/>
      </w:pPr>
      <w:bookmarkStart w:id="100066" w:name="_Toc100066"/>
      <w:r>
        <w:rPr>
          <w:rFonts w:ascii="Liberation Serif" w:cs="Liberation Serif" w:eastAsia="Liberation Serif" w:hAnsi="Liberation Serif"/>
          <w:b/>
          <w:bCs/>
          <w:color w:val="14213D"/>
          <w:sz w:val="28"/>
          <w:szCs w:val="28"/>
        </w:rPr>
        <w:t xml:space="preserve">Resource Envelope</w:t>
      </w:r>
      <w:bookmarkEnd w:id="100066"/>
    </w:p>
    <w:p>
      <w:pPr>
        <w:spacing w:after="160" w:line="312"/>
        <w:jc w:val="both"/>
      </w:pPr>
      <w:r>
        <w:rPr>
          <w:rFonts w:ascii="Liberation Serif" w:cs="Liberation Serif" w:eastAsia="Liberation Serif" w:hAnsi="Liberation Serif"/>
          <w:color w:val="14213D"/>
          <w:sz w:val="22"/>
          <w:szCs w:val="22"/>
        </w:rPr>
        <w:t xml:space="preserve">The ARDS runs on CPU 4-5 (not the hot-path cores 2-3) and communicates with the hot path via SPSC queues. RAM usage is capped at 512 MB per process via cgroups. The HMM and LightGBM models are loaded into RAM at startup (no disk I/O during inference). SHAP values are computed in-memory. The 100k-bar ring buffers per timeframe consume approximately 50 MB total.</w:t>
      </w:r>
    </w:p>
    <w:p>
      <w:pPr>
        <w:pStyle w:val="Heading1"/>
        <w:pageBreakBefore/>
        <w:pBdr>
          <w:bottom w:val="single" w:color="C8102E" w:sz="18" w:space="4"/>
        </w:pBdr>
        <w:spacing w:after="240" w:before="480"/>
      </w:pPr>
      <w:bookmarkStart w:id="100067" w:name="_Toc100067"/>
      <w:r>
        <w:rPr>
          <w:rFonts w:ascii="Liberation Serif" w:cs="Liberation Serif" w:eastAsia="Liberation Serif" w:hAnsi="Liberation Serif"/>
          <w:b/>
          <w:bCs/>
          <w:color w:val="14213D"/>
          <w:sz w:val="40"/>
          <w:szCs w:val="40"/>
        </w:rPr>
        <w:t xml:space="preserve">Chapter 13 — Integration with TITAN Core</w:t>
      </w:r>
      <w:bookmarkEnd w:id="100067"/>
    </w:p>
    <w:p>
      <w:pPr>
        <w:spacing w:after="160" w:line="312"/>
        <w:jc w:val="both"/>
      </w:pPr>
      <w:r>
        <w:rPr>
          <w:rFonts w:ascii="Liberation Serif" w:cs="Liberation Serif" w:eastAsia="Liberation Serif" w:hAnsi="Liberation Serif"/>
          <w:color w:val="14213D"/>
          <w:sz w:val="22"/>
          <w:szCs w:val="22"/>
        </w:rPr>
        <w:t xml:space="preserve">The ARDS integrates with four TITAN Core components. The Strategy Coordinator is the primary consumer — it subscribes to regime updates and uses the regime label to gate strategy activation, scale position size, and select risk parameters. The Risk Gate uses the probability vector for risk-aware sizing. The Execution Engine uses the regime label for slippage model selection. The Operator Console displays the current regime and confidence for situational awareness.</w:t>
      </w:r>
    </w:p>
    <w:p>
      <w:pPr>
        <w:pStyle w:val="Heading2"/>
        <w:spacing w:after="160" w:before="320"/>
      </w:pPr>
      <w:bookmarkStart w:id="100068" w:name="_Toc100068"/>
      <w:r>
        <w:rPr>
          <w:rFonts w:ascii="Liberation Serif" w:cs="Liberation Serif" w:eastAsia="Liberation Serif" w:hAnsi="Liberation Serif"/>
          <w:b/>
          <w:bCs/>
          <w:color w:val="14213D"/>
          <w:sz w:val="28"/>
          <w:szCs w:val="28"/>
        </w:rPr>
        <w:t xml:space="preserve">Strategy Coordinator Integration</w:t>
      </w:r>
      <w:bookmarkEnd w:id="100068"/>
    </w:p>
    <w:p>
      <w:pPr>
        <w:spacing w:after="160" w:line="312"/>
        <w:jc w:val="both"/>
      </w:pPr>
      <w:r>
        <w:rPr>
          <w:rFonts w:ascii="Liberation Serif" w:cs="Liberation Serif" w:eastAsia="Liberation Serif" w:hAnsi="Liberation Serif"/>
          <w:color w:val="14213D"/>
          <w:sz w:val="22"/>
          <w:szCs w:val="22"/>
        </w:rPr>
        <w:t xml:space="preserve">The Strategy Coordinator subscribes to regime.update events on the ZMQ bus. On each event, it evaluates which strategies should be active given the current regime. The mapping is configurable but typically: TREND activates momentum strategies; RANGE activates mean reversion; VOLATILE reduces position size by 50% and widens stops; NEWS flattens positions and pauses new entries. The confidence score gates activation: a strategy is only activated if confidence &gt; 0.65, preventing action on uncertain predictions.</w:t>
      </w:r>
    </w:p>
    <w:p>
      <w:pPr>
        <w:pStyle w:val="Heading2"/>
        <w:spacing w:after="160" w:before="320"/>
      </w:pPr>
      <w:bookmarkStart w:id="100069" w:name="_Toc100069"/>
      <w:r>
        <w:rPr>
          <w:rFonts w:ascii="Liberation Serif" w:cs="Liberation Serif" w:eastAsia="Liberation Serif" w:hAnsi="Liberation Serif"/>
          <w:b/>
          <w:bCs/>
          <w:color w:val="14213D"/>
          <w:sz w:val="28"/>
          <w:szCs w:val="28"/>
        </w:rPr>
        <w:t xml:space="preserve">Risk Gate Integration</w:t>
      </w:r>
      <w:bookmarkEnd w:id="100069"/>
    </w:p>
    <w:p>
      <w:pPr>
        <w:spacing w:after="160" w:line="312"/>
        <w:jc w:val="both"/>
      </w:pPr>
      <w:r>
        <w:rPr>
          <w:rFonts w:ascii="Liberation Serif" w:cs="Liberation Serif" w:eastAsia="Liberation Serif" w:hAnsi="Liberation Serif"/>
          <w:color w:val="14213D"/>
          <w:sz w:val="22"/>
          <w:szCs w:val="22"/>
        </w:rPr>
        <w:t xml:space="preserve">The Risk Gate uses the probability vector for risk-aware position sizing. The sizing formula is: size = base_size × (1 - P(NEWS) - 0.5×P(VOLATILE)). This reduces position size when the probability of risky regimes is high, even if the predicted label is TREND or RANGE. For example, if P(NEWS) = 0.15 and P(VOLATILE) = 0.20, size is reduced by 25% (0.15 + 0.5×0.20 = 0.25). This probabilistic sizing is more nuanced than hard regime gating and produces smoother equity curves.</w:t>
      </w:r>
    </w:p>
    <w:p>
      <w:pPr>
        <w:pStyle w:val="Heading2"/>
        <w:spacing w:after="160" w:before="320"/>
      </w:pPr>
      <w:bookmarkStart w:id="100070" w:name="_Toc100070"/>
      <w:r>
        <w:rPr>
          <w:rFonts w:ascii="Liberation Serif" w:cs="Liberation Serif" w:eastAsia="Liberation Serif" w:hAnsi="Liberation Serif"/>
          <w:b/>
          <w:bCs/>
          <w:color w:val="14213D"/>
          <w:sz w:val="28"/>
          <w:szCs w:val="28"/>
        </w:rPr>
        <w:t xml:space="preserve">Execution Engine Integration</w:t>
      </w:r>
      <w:bookmarkEnd w:id="100070"/>
    </w:p>
    <w:p>
      <w:pPr>
        <w:spacing w:after="160" w:line="312"/>
        <w:jc w:val="both"/>
      </w:pPr>
      <w:r>
        <w:rPr>
          <w:rFonts w:ascii="Liberation Serif" w:cs="Liberation Serif" w:eastAsia="Liberation Serif" w:hAnsi="Liberation Serif"/>
          <w:color w:val="14213D"/>
          <w:sz w:val="22"/>
          <w:szCs w:val="22"/>
        </w:rPr>
        <w:t xml:space="preserve">The Execution Engine uses the regime label to select the appropriate slippage model. In TREND and RANGE, the default slippage model (linear impact) is used. In VOLATILE, the square-root impact model is used (more conservative for larger orders). In NEWS, the learned slippage model is used (trained on historical news-period fills). This regime-aware slippage modeling improves fill quality estimation and reduces the risk of underestimating transaction costs during volatile periods.</w:t>
      </w:r>
    </w:p>
    <w:p>
      <w:pPr>
        <w:pStyle w:val="Heading2"/>
        <w:spacing w:after="160" w:before="320"/>
      </w:pPr>
      <w:bookmarkStart w:id="100071" w:name="_Toc100071"/>
      <w:r>
        <w:rPr>
          <w:rFonts w:ascii="Liberation Serif" w:cs="Liberation Serif" w:eastAsia="Liberation Serif" w:hAnsi="Liberation Serif"/>
          <w:b/>
          <w:bCs/>
          <w:color w:val="14213D"/>
          <w:sz w:val="28"/>
          <w:szCs w:val="28"/>
        </w:rPr>
        <w:t xml:space="preserve">Operator Console Integration</w:t>
      </w:r>
      <w:bookmarkEnd w:id="100071"/>
    </w:p>
    <w:p>
      <w:pPr>
        <w:spacing w:after="160" w:line="312"/>
        <w:jc w:val="both"/>
      </w:pPr>
      <w:r>
        <w:rPr>
          <w:rFonts w:ascii="Liberation Serif" w:cs="Liberation Serif" w:eastAsia="Liberation Serif" w:hAnsi="Liberation Serif"/>
          <w:color w:val="14213D"/>
          <w:sz w:val="22"/>
          <w:szCs w:val="22"/>
        </w:rPr>
        <w:t xml:space="preserve">The Operator Console displays the current regime (with color coding: green=TREND, blue=RANGE, amber=VOLATILE, red=NEWS), the confidence score, the probability distribution, and the top-3 contributing features. This gives operators situational awareness — they can see at a glance what the system thinks the market is doing and why. The console also shows the historical regime timeline (last 24 hours) so operators can spot anomalies (e.g., excessive flapping) and trigger manual re-detection or model review.</w:t>
      </w:r>
    </w:p>
    <w:p>
      <w:pPr>
        <w:pStyle w:val="Heading1"/>
        <w:pageBreakBefore/>
        <w:pBdr>
          <w:bottom w:val="single" w:color="C8102E" w:sz="18" w:space="4"/>
        </w:pBdr>
        <w:spacing w:after="240" w:before="480"/>
      </w:pPr>
      <w:bookmarkStart w:id="100072" w:name="_Toc100072"/>
      <w:r>
        <w:rPr>
          <w:rFonts w:ascii="Liberation Serif" w:cs="Liberation Serif" w:eastAsia="Liberation Serif" w:hAnsi="Liberation Serif"/>
          <w:b/>
          <w:bCs/>
          <w:color w:val="14213D"/>
          <w:sz w:val="40"/>
          <w:szCs w:val="40"/>
        </w:rPr>
        <w:t xml:space="preserve">Appendix A — Feature Engineering Formulas</w:t>
      </w:r>
      <w:bookmarkEnd w:id="100072"/>
    </w:p>
    <w:p>
      <w:pPr>
        <w:spacing w:after="160" w:line="312"/>
        <w:jc w:val="both"/>
      </w:pPr>
      <w:r>
        <w:rPr>
          <w:rFonts w:ascii="Liberation Serif" w:cs="Liberation Serif" w:eastAsia="Liberation Serif" w:hAnsi="Liberation Serif"/>
          <w:color w:val="14213D"/>
          <w:sz w:val="22"/>
          <w:szCs w:val="22"/>
        </w:rPr>
        <w:t xml:space="preserve">This appendix provides the complete mathematical formulas for all 7 engineered features plus the News Sentiment composite. These formulas are the authoritative reference for implementation; any code that produces a different value is a bug.</w:t>
      </w:r>
    </w:p>
    <w:p>
      <w:pPr>
        <w:pStyle w:val="Heading2"/>
        <w:spacing w:after="160" w:before="320"/>
      </w:pPr>
      <w:bookmarkStart w:id="100073" w:name="_Toc100073"/>
      <w:r>
        <w:rPr>
          <w:rFonts w:ascii="Liberation Serif" w:cs="Liberation Serif" w:eastAsia="Liberation Serif" w:hAnsi="Liberation Serif"/>
          <w:b/>
          <w:bCs/>
          <w:color w:val="14213D"/>
          <w:sz w:val="28"/>
          <w:szCs w:val="28"/>
        </w:rPr>
        <w:t xml:space="preserve">F1 — ADX (Average Directional Index)</w:t>
      </w:r>
      <w:bookmarkEnd w:id="10007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ADX (Wilder 14-period):
  +DM = (High - High_prev) if &gt; (Low_prev - Low) and &gt; 0, else 0
  -DM = (Low_prev - Low) if &gt; (High - High_prev) and &gt; 0, else 0
  TR  = max(High - Low, |High - Close_prev|, |Low - Close_prev|)
  Wilder smooth over 14 periods:
    ATR  = prev_ATR - (prev_ATR / 14) + TR
    +DM_s = prev_+DM_s - (prev_+DM_s / 14) + +DM
    -DM_s = prev_-DM_s - (prev_-DM_s / 14) + -DM
  +DI = 100 * (+DM_s / ATR)
  -DI = 100 * (-DM_s / ATR)
  DX = 100 * |+DI - -DI| / (+DI + -DI)
  ADX = Wilder_smooth(DX, 14)
  Range: [0, 100]. ADX &gt; 25 = strong trend, ADX &lt; 20 = range.</w:t>
      </w:r>
    </w:p>
    <w:p>
      <w:pPr>
        <w:pStyle w:val="Heading2"/>
        <w:spacing w:after="160" w:before="320"/>
      </w:pPr>
      <w:bookmarkStart w:id="100074" w:name="_Toc100074"/>
      <w:r>
        <w:rPr>
          <w:rFonts w:ascii="Liberation Serif" w:cs="Liberation Serif" w:eastAsia="Liberation Serif" w:hAnsi="Liberation Serif"/>
          <w:b/>
          <w:bCs/>
          <w:color w:val="14213D"/>
          <w:sz w:val="28"/>
          <w:szCs w:val="28"/>
        </w:rPr>
        <w:t xml:space="preserve">F2 — ATR (Normalized)</w:t>
      </w:r>
      <w:bookmarkEnd w:id="100074"/>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ATR (Wilder 14-period, normalized):
  TR = max(High - Low, |High - Close_prev|, |Low - Close_prev|)
  ATR = prev_ATR - (prev_ATR / 14) + TR    # Wilder smoothing
  ATR_norm = ATR / Close                    # normalize by price
  Range: [0, ~0.05]. Higher = more volatile.</w:t>
      </w:r>
    </w:p>
    <w:p>
      <w:pPr>
        <w:pStyle w:val="Heading2"/>
        <w:spacing w:after="160" w:before="320"/>
      </w:pPr>
      <w:bookmarkStart w:id="100075" w:name="_Toc100075"/>
      <w:r>
        <w:rPr>
          <w:rFonts w:ascii="Liberation Serif" w:cs="Liberation Serif" w:eastAsia="Liberation Serif" w:hAnsi="Liberation Serif"/>
          <w:b/>
          <w:bCs/>
          <w:color w:val="14213D"/>
          <w:sz w:val="28"/>
          <w:szCs w:val="28"/>
        </w:rPr>
        <w:t xml:space="preserve">F3 — EMA Slope</w:t>
      </w:r>
      <w:bookmarkEnd w:id="100075"/>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EMA Slope (20-period):
  EMA_20 = Close * (2 / 21) + EMA_prev * (1 - 2 / 21)
  slope = arctan((EMA_20 - EMA_20_prev) / 1)   # dt = 1 bar
  Range: [-pi/2, +pi/2]. Positive = uptrend, negative = downtrend.</w:t>
      </w:r>
    </w:p>
    <w:p>
      <w:pPr>
        <w:pStyle w:val="Heading2"/>
        <w:spacing w:after="160" w:before="320"/>
      </w:pPr>
      <w:bookmarkStart w:id="100076" w:name="_Toc100076"/>
      <w:r>
        <w:rPr>
          <w:rFonts w:ascii="Liberation Serif" w:cs="Liberation Serif" w:eastAsia="Liberation Serif" w:hAnsi="Liberation Serif"/>
          <w:b/>
          <w:bCs/>
          <w:color w:val="14213D"/>
          <w:sz w:val="28"/>
          <w:szCs w:val="28"/>
        </w:rPr>
        <w:t xml:space="preserve">F4 — Hurst Exponent (R/S Analysis)</w:t>
      </w:r>
      <w:bookmarkEnd w:id="100076"/>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Hurst Exponent (Rescaled Range, 100-bar window):
  For window of N=100 bars, split into k sub-series of length n = N/k:
    For each sub-series:
      mean = average
      cumdev = cumulative deviation from mean
      R = max(cumdev) - min(cumdev)   # range
      S = std of sub-series
      RS = R / S
    Average RS across all sub-series for this n
  Regress log(RS) against log(n) for several values of k:
    log(RS) = H * log(n) + c
    H = slope of regression
  Range: [0, 1]. H &gt; 0.5 = trending, H &lt; 0.5 = mean-reverting.</w:t>
      </w:r>
    </w:p>
    <w:p>
      <w:pPr>
        <w:pStyle w:val="Heading2"/>
        <w:spacing w:after="160" w:before="320"/>
      </w:pPr>
      <w:bookmarkStart w:id="100077" w:name="_Toc100077"/>
      <w:r>
        <w:rPr>
          <w:rFonts w:ascii="Liberation Serif" w:cs="Liberation Serif" w:eastAsia="Liberation Serif" w:hAnsi="Liberation Serif"/>
          <w:b/>
          <w:bCs/>
          <w:color w:val="14213D"/>
          <w:sz w:val="28"/>
          <w:szCs w:val="28"/>
        </w:rPr>
        <w:t xml:space="preserve">F5 — Bollinger Width</w:t>
      </w:r>
      <w:bookmarkEnd w:id="100077"/>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Bollinger Width (20-period, 2 sigma):
  mid = SMA(Close, 20)
  upper = mid + 2 * stdev(Close, 20)
  lower = mid - 2 * stdev(Close, 20)
  BBW = (upper - lower) / mid
  BBW_pct = percentile_rank(BBW, prior 252 bars)
  Range: [0, 1] (percentile). Low = contraction, high = expansion.</w:t>
      </w:r>
    </w:p>
    <w:p>
      <w:pPr>
        <w:pStyle w:val="Heading2"/>
        <w:spacing w:after="160" w:before="320"/>
      </w:pPr>
      <w:bookmarkStart w:id="100078" w:name="_Toc100078"/>
      <w:r>
        <w:rPr>
          <w:rFonts w:ascii="Liberation Serif" w:cs="Liberation Serif" w:eastAsia="Liberation Serif" w:hAnsi="Liberation Serif"/>
          <w:b/>
          <w:bCs/>
          <w:color w:val="14213D"/>
          <w:sz w:val="28"/>
          <w:szCs w:val="28"/>
        </w:rPr>
        <w:t xml:space="preserve">F6 — Realized Volatility</w:t>
      </w:r>
      <w:bookmarkEnd w:id="100078"/>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Realized Volatility (30-bar, annualized):
  log_returns = log(Close / Close_prev) over 30 bars
  sigma_bar = std(log_returns)
  sigma_annual = sigma_bar * sqrt(252)
  EMA-decayed: sigma_decayed = 0.94 * sigma_prev + 0.06 * sigma_annual
  Range: [0, ~2.0]. Higher = more volatile.</w:t>
      </w:r>
    </w:p>
    <w:p>
      <w:pPr>
        <w:pStyle w:val="Heading2"/>
        <w:spacing w:after="160" w:before="320"/>
      </w:pPr>
      <w:bookmarkStart w:id="100079" w:name="_Toc100079"/>
      <w:r>
        <w:rPr>
          <w:rFonts w:ascii="Liberation Serif" w:cs="Liberation Serif" w:eastAsia="Liberation Serif" w:hAnsi="Liberation Serif"/>
          <w:b/>
          <w:bCs/>
          <w:color w:val="14213D"/>
          <w:sz w:val="28"/>
          <w:szCs w:val="28"/>
        </w:rPr>
        <w:t xml:space="preserve">F7 — Volume Analysis (Composite)</w:t>
      </w:r>
      <w:bookmarkEnd w:id="100079"/>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Volume Analysis (3 sub-features):
  1. Tick volume z-score:
     vol_z = (tick_vol - mean(vol, 50)) / std(vol, 50)
  2. OBV slope:
     OBV = OBV_prev + sign(Close - Close_prev) * tick_vol
     OBV_slope = arctan((OBV - OBV_prev_5) / 5)
  3. VWAP deviation:
     VWAP = cumsum(typical_price * vol) / cumsum(vol)
     vwap_dev = (Close - VWAP) / VWAP
  Composite = weighted sum (weights tuned via backtest)</w:t>
      </w:r>
    </w:p>
    <w:p>
      <w:pPr>
        <w:pStyle w:val="Heading2"/>
        <w:spacing w:after="160" w:before="320"/>
      </w:pPr>
      <w:bookmarkStart w:id="100080" w:name="_Toc100080"/>
      <w:r>
        <w:rPr>
          <w:rFonts w:ascii="Liberation Serif" w:cs="Liberation Serif" w:eastAsia="Liberation Serif" w:hAnsi="Liberation Serif"/>
          <w:b/>
          <w:bCs/>
          <w:color w:val="14213D"/>
          <w:sz w:val="28"/>
          <w:szCs w:val="28"/>
        </w:rPr>
        <w:t xml:space="preserve">F8 — News Sentiment (Composite)</w:t>
      </w:r>
      <w:bookmarkEnd w:id="100080"/>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News Sentiment Composite:
  proximity = max(0, 1 - |minutes_to_event| / 60)   # 1 at event, 0 at 60min
  impact_score = {H: 1.0, M: 0.5, L: 0.25}[event.impact_tier]
  surprise = (actual - forecast) / historical_surprise_std
  nlp_sentiment = NLP_model.score(event.text)        # [-1, +1]
  composite = proximity * impact_score * (1 + |surprise|) * (1 + |nlp_sentiment|)
  Range: [0, ~4]. Higher = more news-driven. Veto threshold &gt; 0.5.</w:t>
      </w:r>
    </w:p>
    <w:p>
      <w:pPr>
        <w:pStyle w:val="Heading1"/>
        <w:pageBreakBefore/>
        <w:pBdr>
          <w:bottom w:val="single" w:color="C8102E" w:sz="18" w:space="4"/>
        </w:pBdr>
        <w:spacing w:after="240" w:before="480"/>
      </w:pPr>
      <w:bookmarkStart w:id="100081" w:name="_Toc100081"/>
      <w:r>
        <w:rPr>
          <w:rFonts w:ascii="Liberation Serif" w:cs="Liberation Serif" w:eastAsia="Liberation Serif" w:hAnsi="Liberation Serif"/>
          <w:b/>
          <w:bCs/>
          <w:color w:val="14213D"/>
          <w:sz w:val="40"/>
          <w:szCs w:val="40"/>
        </w:rPr>
        <w:t xml:space="preserve">Appendix B — Sample Regime Output</w:t>
      </w:r>
      <w:bookmarkEnd w:id="100081"/>
    </w:p>
    <w:p>
      <w:pPr>
        <w:spacing w:after="160" w:line="312"/>
        <w:jc w:val="both"/>
      </w:pPr>
      <w:r>
        <w:rPr>
          <w:rFonts w:ascii="Liberation Serif" w:cs="Liberation Serif" w:eastAsia="Liberation Serif" w:hAnsi="Liberation Serif"/>
          <w:color w:val="14213D"/>
          <w:sz w:val="22"/>
          <w:szCs w:val="22"/>
        </w:rPr>
        <w:t xml:space="preserve">This appendix shows the RegimeOutput for three representative scenarios: a high-confidence TREND detection, an ambiguous RANGE/VOLATILE case, and a NEWS override. The outputs are shown in JSON form for readability; in production, they are serialized as FlatBuffers for performance.</w:t>
      </w:r>
    </w:p>
    <w:p>
      <w:pPr>
        <w:pStyle w:val="Heading2"/>
        <w:spacing w:after="160" w:before="320"/>
      </w:pPr>
      <w:bookmarkStart w:id="100082" w:name="_Toc100082"/>
      <w:r>
        <w:rPr>
          <w:rFonts w:ascii="Liberation Serif" w:cs="Liberation Serif" w:eastAsia="Liberation Serif" w:hAnsi="Liberation Serif"/>
          <w:b/>
          <w:bCs/>
          <w:color w:val="14213D"/>
          <w:sz w:val="28"/>
          <w:szCs w:val="28"/>
        </w:rPr>
        <w:t xml:space="preserve">B.1 High-Confidence TREND Detection</w:t>
      </w:r>
      <w:bookmarkEnd w:id="10008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"timestamp": 1718798400000000000,
  "symbol": "XAUUSD",
  "timeframe": "M1",
  "label": "TREND",
  "confidence": 0.85,
  "probability": [0.72, 0.15, 0.10, 0.03],
  "explainability": 0.82,
  "top3_features": [
    { "name": "ADX",          "shap": +1.85 },
    { "name": "EMA_slope",    "shap": +1.20 },
    { "name": "Hurst",        "shap": +0.75 }
  ],
  "model_votes": ["TREND", "TREND", "TREND"],
  "rules_veto": false,
  "features_snapshot": {
    "ADX_z": 1.85, "ATR_z": 0.40, "EMA_slope_z": 1.20,
    "Hurst_z": 0.75, "BBW_z": 0.30, "RealVol_z": 0.50,
    "VolAnalysis_z": 0.80, "NewsSentiment_z": 0.05
  },
  "controls_applied": ["C1_pass", "C2_pass", "C3_pass", "C4_pass", "C5_pass"],
  "controls_rejected": []
}</w:t>
      </w:r>
    </w:p>
    <w:p>
      <w:pPr>
        <w:pStyle w:val="Heading2"/>
        <w:spacing w:after="160" w:before="320"/>
      </w:pPr>
      <w:bookmarkStart w:id="100083" w:name="_Toc100083"/>
      <w:r>
        <w:rPr>
          <w:rFonts w:ascii="Liberation Serif" w:cs="Liberation Serif" w:eastAsia="Liberation Serif" w:hAnsi="Liberation Serif"/>
          <w:b/>
          <w:bCs/>
          <w:color w:val="14213D"/>
          <w:sz w:val="28"/>
          <w:szCs w:val="28"/>
        </w:rPr>
        <w:t xml:space="preserve">B.2 Ambiguous RANGE/VOLATILE (Low Confidence)</w:t>
      </w:r>
      <w:bookmarkEnd w:id="10008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"timestamp": 1718798460000000000,
  "symbol": "XAUUSD",
  "timeframe": "M1",
  "label": "RANGE",
  "confidence": 0.50,
  "probability": [0.20, 0.45, 0.30, 0.05],
  "explainability": 0.55,
  "top3_features": [
    { "name": "BBW",          "shap": -0.85 },
    { "name": "Hurst",        "shap": -0.65 },
    { "name": "RealVol",      "shap": +0.55 }
  ],
  "model_votes": ["RANGE", "VOLATILE", "RANGE"],
  "rules_veto": false,
  "features_snapshot": {
    "ADX_z": -0.85, "ATR_z": 0.90, "EMA_slope_z": -0.20,
    "Hurst_z": -0.65, "BBW_z": -0.50, "RealVol_z": 0.95,
    "VolAnalysis_z": 0.60, "NewsSentiment_z": 0.02
  },
  "controls_applied": ["C1_pass", "C2_pass", "C3_pass"],
  "controls_rejected": ["C4_bootstrap_ci_too_wide"],
  "note": "C4 rejected the flip to VOLATILE; RANGE maintained per hysteresis"
}</w:t>
      </w:r>
    </w:p>
    <w:p>
      <w:pPr>
        <w:pStyle w:val="Heading2"/>
        <w:spacing w:after="160" w:before="320"/>
      </w:pPr>
      <w:bookmarkStart w:id="100084" w:name="_Toc100084"/>
      <w:r>
        <w:rPr>
          <w:rFonts w:ascii="Liberation Serif" w:cs="Liberation Serif" w:eastAsia="Liberation Serif" w:hAnsi="Liberation Serif"/>
          <w:b/>
          <w:bCs/>
          <w:color w:val="14213D"/>
          <w:sz w:val="28"/>
          <w:szCs w:val="28"/>
        </w:rPr>
        <w:t xml:space="preserve">B.3 NEWS Override (Rules Veto)</w:t>
      </w:r>
      <w:bookmarkEnd w:id="100084"/>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"timestamp": 1718798520000000000,
  "symbol": "XAUUSD",
  "timeframe": "M1",
  "label": "NEWS",
  "confidence": 0.20,
  "probability": [0.15, 0.20, 0.45, 0.20],
  "explainability": 1.00,
  "top3_features": [
    { "name": "NewsSentiment",  "shap": +2.50 },
    { "name": "VolAnalysis",    "shap": +1.80 },
    { "name": "ATR",            "shap": +1.20 }
  ],
  "model_votes": ["VOLATILE", "VOLATILE", "NEWS"],
  "rules_veto": true,
  "features_snapshot": {
    "ADX_z": 0.30, "ATR_z": 2.80, "EMA_slope_z": 0.50,
    "Hurst_z": 0.20, "BBW_z": 2.10, "RealVol_z": 2.50,
    "VolAnalysis_z": 3.20, "NewsSentiment_z": 2.50
  },
  "controls_applied": [],
  "controls_rejected": [],
  "note": "Rules Engine veto: FOMC event within 15min. All controls bypassed per C6."
}</w:t>
      </w:r>
    </w:p>
    <w:p>
      <w:pPr>
        <w:spacing w:after="160" w:line="312"/>
        <w:jc w:val="both"/>
      </w:pPr>
      <w:r>
        <w:rPr>
          <w:rFonts w:ascii="Liberation Serif" w:cs="Liberation Serif" w:eastAsia="Liberation Serif" w:hAnsi="Liberation Serif"/>
          <w:color w:val="14213D"/>
          <w:sz w:val="22"/>
          <w:szCs w:val="22"/>
        </w:rPr>
        <w:t xml:space="preserve">These three examples illustrate the range of ARDS behavior: high-confidence unanimous classification, ambiguous low-confidence classification with control rejection, and Rules Engine veto override. In all cases, the RegimeOutput is published on the event bus and recorded in the audit log, providing complete observability for downstream consumers and post-hoc analysis.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Adaptive Regime Detection System</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8db2689b76534a09363e3cd36b88563dfb9bf29.png"/><Relationship Id="rId11" Type="http://schemas.openxmlformats.org/officeDocument/2006/relationships/image" Target="media/12dcc5d0fc52e2078e48bb331f4a714a8aaf19ae.png"/><Relationship Id="rId12" Type="http://schemas.openxmlformats.org/officeDocument/2006/relationships/image" Target="media/feec8493cc4716aa528e7c495e5fc95e2dcfcf14.png"/><Relationship Id="rId13" Type="http://schemas.openxmlformats.org/officeDocument/2006/relationships/image" Target="media/51ae0eecffb8b84e0517d6aaa4f3eed855a22d75.png"/><Relationship Id="rId14" Type="http://schemas.openxmlformats.org/officeDocument/2006/relationships/image" Target="media/ddaba91345659187958e37138ca6ae490d7017ab.png"/><Relationship Id="rId15" Type="http://schemas.openxmlformats.org/officeDocument/2006/relationships/image" Target="media/527f54ab0b94d13bda378c8109a9321443681da5.png"/><Relationship Id="rId16" Type="http://schemas.openxmlformats.org/officeDocument/2006/relationships/image" Target="media/7a83dd4b73812deb040e9d578ab3f60c68e475e9.png"/><Relationship Id="rId17" Type="http://schemas.openxmlformats.org/officeDocument/2006/relationships/image" Target="media/83cd30a499649771c8ee4c7d5f01f99ddf0fab2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Adaptive Regime Detection System</dc:title>
  <dc:subject>Regime detection architecture</dc:subject>
  <dc:creator>TITAN Quant Research</dc:creator>
  <dc:description>Adaptive Regime Detection System architecture for XAUUSD market state classification</dc:description>
  <cp:lastModifiedBy>Un-named</cp:lastModifiedBy>
  <cp:revision>1</cp:revision>
  <dcterms:created xsi:type="dcterms:W3CDTF">2026-06-18T21:48:17.814Z</dcterms:created>
  <dcterms:modified xsi:type="dcterms:W3CDTF">2026-06-18T21:48:17.814Z</dcterms:modified>
</cp:coreProperties>
</file>

<file path=docProps/custom.xml><?xml version="1.0" encoding="utf-8"?>
<Properties xmlns="http://schemas.openxmlformats.org/officeDocument/2006/custom-properties" xmlns:vt="http://schemas.openxmlformats.org/officeDocument/2006/docPropsVTypes"/>
</file>