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left"/>
      </w:pPr>
      <w:r>
        <w:rPr>
          <w:rFonts w:ascii="JetBrains Mono" w:cs="JetBrains Mono" w:eastAsia="JetBrains Mono" w:hAnsi="JetBrains Mono"/>
          <w:b/>
          <w:bCs/>
          <w:color w:val="C8102E"/>
          <w:sz w:val="18"/>
          <w:szCs w:val="18"/>
        </w:rPr>
        <w:t xml:space="preserve">TITAN  ·  QUANT  RESEARCH</w:t>
      </w:r>
    </w:p>
    <w:p>
      <w:pPr>
        <w:spacing w:after="80"/>
      </w:pPr>
      <w:r>
        <w:rPr>
          <w:rFonts w:ascii="Liberation Serif" w:cs="Liberation Serif" w:eastAsia="Liberation Serif" w:hAnsi="Liberation Serif"/>
          <w:b/>
          <w:bCs/>
          <w:color w:val="14213D"/>
          <w:sz w:val="56"/>
          <w:szCs w:val="56"/>
        </w:rPr>
        <w:t xml:space="preserve">TITAN XAU AI</w:t>
      </w:r>
    </w:p>
    <w:p>
      <w:pPr>
        <w:pBdr>
          <w:bottom w:val="single" w:color="14213D" w:sz="18" w:space="4"/>
        </w:pBdr>
        <w:spacing w:after="72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INSTITUTIONAL  TRADING  SYSTEMS</w:t>
      </w:r>
    </w:p>
    <w:p>
      <w:pPr>
        <w:spacing w:after="360" w:before="720"/>
      </w:pPr>
      <w:r>
        <w:rPr>
          <w:rFonts w:ascii="JetBrains Mono" w:cs="JetBrains Mono" w:eastAsia="JetBrains Mono" w:hAnsi="JetBrains Mono"/>
          <w:b/>
          <w:bCs/>
          <w:color w:val="C8102E"/>
          <w:sz w:val="20"/>
          <w:szCs w:val="20"/>
        </w:rPr>
        <w:t xml:space="preserve">M O D U L E   1 1   ·   L I C E N S I N G</w:t>
      </w:r>
    </w:p>
    <w:p>
      <w:pPr>
        <w:spacing w:after="360" w:line="240"/>
      </w:pPr>
      <w:r>
        <w:rPr>
          <w:rFonts w:ascii="Liberation Serif" w:cs="Liberation Serif" w:eastAsia="Liberation Serif" w:hAnsi="Liberation Serif"/>
          <w:b/>
          <w:bCs/>
          <w:color w:val="14213D"/>
          <w:sz w:val="52"/>
          <w:szCs w:val="52"/>
        </w:rPr>
        <w:t xml:space="preserve">Commercial</w:t>
      </w:r>
      <w:r>
        <w:rPr>
          <w:rFonts w:ascii="Liberation Serif" w:cs="Liberation Serif" w:eastAsia="Liberation Serif" w:hAnsi="Liberation Serif"/>
          <w:b/>
          <w:bCs/>
          <w:color w:val="C8102E"/>
          <w:sz w:val="52"/>
          <w:szCs w:val="52"/>
        </w:rPr>
        <w:t xml:space="preserve"> Licensing</w:t>
      </w:r>
    </w:p>
    <w:p>
      <w:pPr>
        <w:spacing w:after="720" w:line="360"/>
      </w:pPr>
      <w:r>
        <w:rPr>
          <w:rFonts w:ascii="Liberation Serif" w:cs="Liberation Serif" w:eastAsia="Liberation Serif" w:hAnsi="Liberation Serif"/>
          <w:i/>
          <w:iCs/>
          <w:color w:val="4A5568"/>
          <w:sz w:val="24"/>
          <w:szCs w:val="24"/>
        </w:rPr>
        <w:t xml:space="preserve">Hardware lock: CPUID + Motherboard ID + Windows SID. Online + offline activation. RSA-4096 JWT. Monthly/Quarterly/Yearly expiry. 5-layer anti-crack. 3 tiers. Server-side heartbeat + revocation.</w:t>
      </w:r>
    </w:p>
    <w:p>
      <w:pPr>
        <w:pBdr>
          <w:top w:val="single" w:color="14213D" w:sz="12" w:space="4"/>
        </w:pBdr>
        <w:spacing w:after="120" w:before="240"/>
      </w:pPr>
      <w:r>
        <w:rPr>
          <w:rFonts w:ascii="JetBrains Mono" w:cs="JetBrains Mono" w:eastAsia="JetBrains Mono" w:hAnsi="JetBrains Mono"/>
          <w:b/>
          <w:bCs/>
          <w:color w:val="C8102E"/>
          <w:sz w:val="16"/>
          <w:szCs w:val="16"/>
        </w:rPr>
        <w:t xml:space="preserve">KEY FEATURES</w:t>
      </w:r>
    </w:p>
    <w:tbl>
      <w:tblPr>
        <w:tblW w:type="dxa" w:w="9000"/>
        <w:tblBorders>
          <w:top w:val="single" w:color="14213D" w:sz="6"/>
          <w:left w:val="single" w:color="CBD5E1" w:sz="4"/>
          <w:bottom w:val="single" w:color="14213D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5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Hardware lock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3-factor (CPUID + MB ID + Windows SID)</w:t>
            </w:r>
          </w:p>
        </w:tc>
      </w:tr>
      <w:tr>
        <w:trPr>
          <w:cantSplit/>
        </w:trPr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Activation</w:t>
            </w:r>
          </w:p>
        </w:tc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Online (~2s) + Offline (email, 24h)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License expiry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Monthly / Quarterly / Yearly</w:t>
            </w:r>
          </w:p>
        </w:tc>
      </w:tr>
      <w:tr>
        <w:trPr>
          <w:cantSplit/>
        </w:trPr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Anti-crack</w:t>
            </w:r>
          </w:p>
        </w:tc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5 layers (obfuscation, tamper, anti-debug, anti-VM, behavioral)</w:t>
            </w:r>
          </w:p>
        </w:tc>
      </w:tr>
      <w:tr>
        <w:trPr>
          <w:cantSplit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Crypto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RSA-4096 + AES-256 + TLS 1.3</w:t>
            </w:r>
          </w:p>
        </w:tc>
      </w:tr>
      <w:tr>
        <w:trPr>
          <w:cantSplit/>
        </w:trPr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Tiers</w:t>
            </w:r>
          </w:p>
        </w:tc>
        <w:tc>
          <w:tcPr>
            <w:tcW w:type="dxa" w:w="45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Starter $12k / Pro $48k / Enterprise $180k</w:t>
            </w:r>
          </w:p>
        </w:tc>
      </w:tr>
    </w:tbl>
    <w:p>
      <w:pPr>
        <w:spacing w:after="36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Prepared by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TITAN Quant Research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Reviewed by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CTO · Security Officer · Legal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Classification  </w:t>
      </w:r>
      <w:r>
        <w:rPr>
          <w:rFonts w:ascii="JetBrains Mono" w:cs="JetBrains Mono" w:eastAsia="JetBrains Mono" w:hAnsi="JetBrains Mono"/>
          <w:b/>
          <w:bCs/>
          <w:color w:val="C8102E"/>
          <w:sz w:val="18"/>
          <w:szCs w:val="18"/>
        </w:rPr>
        <w:t xml:space="preserve">COMMERCIAL — LICENSEE DISTRIBUTION</w:t>
      </w:r>
    </w:p>
    <w:p>
      <w:pPr>
        <w:pBdr>
          <w:top w:val="single" w:color="14213D" w:sz="6" w:space="4"/>
        </w:pBdr>
        <w:spacing w:after="0"/>
      </w:pPr>
      <w:r>
        <w:rPr>
          <w:rFonts w:ascii="JetBrains Mono" w:cs="JetBrains Mono" w:eastAsia="JetBrains Mono" w:hAnsi="JetBrains Mono"/>
          <w:color w:val="4A5568"/>
          <w:sz w:val="18"/>
          <w:szCs w:val="18"/>
        </w:rPr>
        <w:t xml:space="preserve">Version  </w:t>
      </w:r>
      <w:r>
        <w:rPr>
          <w:rFonts w:ascii="JetBrains Mono" w:cs="JetBrains Mono" w:eastAsia="JetBrains Mono" w:hAnsi="JetBrains Mono"/>
          <w:b/>
          <w:bCs/>
          <w:color w:val="14213D"/>
          <w:sz w:val="18"/>
          <w:szCs w:val="18"/>
        </w:rPr>
        <w:t xml:space="preserve">v1.0  ·  19 June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8102E" w:sz="18" w:space="4"/>
        </w:pBdr>
        <w:spacing w:after="240"/>
      </w:pPr>
      <w:r>
        <w:rPr>
          <w:rFonts w:ascii="Liberation Serif" w:cs="Liberation Serif" w:eastAsia="Liberation Serif" w:hAnsi="Liberation Serif"/>
          <w:b/>
          <w:bCs/>
          <w:color w:val="14213D"/>
          <w:sz w:val="44"/>
          <w:szCs w:val="44"/>
        </w:rPr>
        <w:t xml:space="preserve">Table of Contents</w:t>
      </w:r>
    </w:p>
    <w:p>
      <w:pPr>
        <w:spacing w:after="280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Right-click the table below and choose "Update Field" to refresh page numbers.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 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Chapter 1 —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Chapter 2 — Architecture Overview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Layer Responsibilities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L1 — Hardware Fingerprint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L2 — Activation Engine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L3 — License Server (SaaS)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L4 — Anti-Crack Defense (5 layers)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L5 — License Expiry &amp; Enforcement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Chapter 3 — Hardware Lock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Chapter 4 — Activation Workflow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Heartbeat Protocol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License Expiry Types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Chapter 5 — Security Design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Chapter 6 — Anti-Crack Design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Crack Resistance Philosophy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Chapter 7 — License Tier Matrix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Chapter 8 — Validation Tests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Chapter 9 — Integration with TITAN Core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0" w:name="_Toc100000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1 — Executive Summary</w:t>
      </w:r>
      <w:bookmarkEnd w:id="100000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Commercial Licensing Architecture (CLA) is Module 11 of the TITAN XAU AI trading system. It is the system's commercial protection layer — a hardware-locked, cryptographically signed, anti-crack licensing framework that ensures only authorized licensees can operate the TITAN trading system. The CLA binds each license to the physical hardware via a 3-factor composite fingerprint (CPUID + Motherboard ID + Windows SID), issues RSA-4096 signed JWT license tokens, and enforces feature gating, expiry, and revocation through client-side validation and server-side heartbeat.</w:t>
      </w:r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architecture supports both online activation (~2 seconds) and offline activation (email-based, up to 24 hours). License tokens are cached locally in AES-256 encrypted form with the key derived from the hardware fingerprint — a stolen license file cannot be used on a different machine. The 1-hour heartbeat cycle ensures the server can revoke or renew licenses in near-real-time. A 7-day grace period allows continued trading during network outages before graceful shutdown.</w:t>
      </w:r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Three license expiry types: Monthly (Starter, 30 days), Quarterly (Pro, 90 days), Yearly (Enterprise, 365 days). 5-layer anti-crack defense: code obfuscation, tamper detection, anti-debug, anti-VM, behavioral analytics. Server-side heartbeat is the ultimate backstop — even if all client-side protections are bypassed, the system cannot operate without a valid server-issued JWT.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1" w:name="_Toc100001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2 — Architecture Overview</w:t>
      </w:r>
      <w:bookmarkEnd w:id="100001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The CLA is organized into 5 layers: hardware fingerprint, activation engine, license server, anti-crack defense, and license expiry/enforcement. A 6th layer (audit) records every licensing event.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2.1 — CLA architecture: 5 layers + audit.</w:t>
      </w:r>
    </w:p>
    <w:p>
      <w:pPr>
        <w:pStyle w:val="Heading2"/>
        <w:spacing w:after="160" w:before="320"/>
      </w:pPr>
      <w:bookmarkStart w:id="100002" w:name="_Toc100002"/>
      <w:r>
        <w:rPr>
          <w:rFonts w:ascii="Liberation Serif" w:cs="Liberation Serif" w:eastAsia="Liberation Serif" w:hAnsi="Liberation Serif"/>
          <w:b/>
          <w:bCs/>
          <w:color w:val="14213D"/>
          <w:sz w:val="28"/>
          <w:szCs w:val="28"/>
        </w:rPr>
        <w:t xml:space="preserve">Layer Responsibilities</w:t>
      </w:r>
      <w:bookmarkEnd w:id="100002"/>
    </w:p>
    <w:p>
      <w:pPr>
        <w:pStyle w:val="Heading3"/>
        <w:spacing w:after="120" w:before="240"/>
      </w:pPr>
      <w:bookmarkStart w:id="100003" w:name="_Toc100003"/>
      <w:r>
        <w:rPr>
          <w:rFonts w:ascii="Liberation Serif" w:cs="Liberation Serif" w:eastAsia="Liberation Serif" w:hAnsi="Liberation Serif"/>
          <w:b/>
          <w:bCs/>
          <w:color w:val="C8102E"/>
          <w:sz w:val="24"/>
          <w:szCs w:val="24"/>
        </w:rPr>
        <w:t xml:space="preserve">L1 — Hardware Fingerprint</w:t>
      </w:r>
      <w:bookmarkEnd w:id="100003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3 identifiers: CPUID (CPU manufacturer + model), Motherboard ID (baseboard serial), Windows SID (machine GUID). Each SHA-256 hashed, combined into composite: SHA-256(CPUID_hash + MB_hash + SID_hash). Unique per physical machine. 3 activations/year for legitimate hardware changes.</w:t>
      </w:r>
    </w:p>
    <w:p>
      <w:pPr>
        <w:pStyle w:val="Heading3"/>
        <w:spacing w:after="120" w:before="240"/>
      </w:pPr>
      <w:bookmarkStart w:id="100004" w:name="_Toc100004"/>
      <w:r>
        <w:rPr>
          <w:rFonts w:ascii="Liberation Serif" w:cs="Liberation Serif" w:eastAsia="Liberation Serif" w:hAnsi="Liberation Serif"/>
          <w:b/>
          <w:bCs/>
          <w:color w:val="C8102E"/>
          <w:sz w:val="24"/>
          <w:szCs w:val="24"/>
        </w:rPr>
        <w:t xml:space="preserve">L2 — Activation Engine</w:t>
      </w:r>
      <w:bookmarkEnd w:id="100004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Online: HTTPS POST to license server with tenant_id + hw_fingerprint, receive RSA-4096 signed JWT. ~2s. Offline: generate request code, email to TITAN support, receive activation key. Up to 24h. Both produce same JWT format.</w:t>
      </w:r>
    </w:p>
    <w:p>
      <w:pPr>
        <w:pStyle w:val="Heading3"/>
        <w:spacing w:after="120" w:before="240"/>
      </w:pPr>
      <w:bookmarkStart w:id="100005" w:name="_Toc100005"/>
      <w:r>
        <w:rPr>
          <w:rFonts w:ascii="Liberation Serif" w:cs="Liberation Serif" w:eastAsia="Liberation Serif" w:hAnsi="Liberation Serif"/>
          <w:b/>
          <w:bCs/>
          <w:color w:val="C8102E"/>
          <w:sz w:val="24"/>
          <w:szCs w:val="24"/>
        </w:rPr>
        <w:t xml:space="preserve">L3 — License Server (SaaS)</w:t>
      </w:r>
      <w:bookmarkEnd w:id="100005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AWS-hosted: JWT Issuer (RSA-4096, HSM-backed), TenantManager (CRUD + billing, 3 activations/year), RevocationService (revoke -&gt; next heartbeat triggers graceful shutdown).</w:t>
      </w:r>
    </w:p>
    <w:p>
      <w:pPr>
        <w:pStyle w:val="Heading3"/>
        <w:spacing w:after="120" w:before="240"/>
      </w:pPr>
      <w:bookmarkStart w:id="100006" w:name="_Toc100006"/>
      <w:r>
        <w:rPr>
          <w:rFonts w:ascii="Liberation Serif" w:cs="Liberation Serif" w:eastAsia="Liberation Serif" w:hAnsi="Liberation Serif"/>
          <w:b/>
          <w:bCs/>
          <w:color w:val="C8102E"/>
          <w:sz w:val="24"/>
          <w:szCs w:val="24"/>
        </w:rPr>
        <w:t xml:space="preserve">L4 — Anti-Crack Defense (5 layers)</w:t>
      </w:r>
      <w:bookmarkEnd w:id="100006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Code obfuscation (symbol strip + LTO + Cython + string encryption), tamper detection (SHA-256 checksum + IAT), anti-debug (IsDebuggerPresent + NtQuery + RDTSC), anti-VM (MAC OUI + CPUID hypervisor), behavioral (geo-IP + multi-IP + concurrent).</w:t>
      </w:r>
    </w:p>
    <w:p>
      <w:pPr>
        <w:pStyle w:val="Heading3"/>
        <w:spacing w:after="120" w:before="240"/>
      </w:pPr>
      <w:bookmarkStart w:id="100007" w:name="_Toc100007"/>
      <w:r>
        <w:rPr>
          <w:rFonts w:ascii="Liberation Serif" w:cs="Liberation Serif" w:eastAsia="Liberation Serif" w:hAnsi="Liberation Serif"/>
          <w:b/>
          <w:bCs/>
          <w:color w:val="C8102E"/>
          <w:sz w:val="24"/>
          <w:szCs w:val="24"/>
        </w:rPr>
        <w:t xml:space="preserve">L5 — License Expiry &amp; Enforcement</w:t>
      </w:r>
      <w:bookmarkEnd w:id="100007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ExpiryManager checks JWT on every heartbeat (1h). Monthly/Quarterly/Yearly. 7-day grace -&gt; graceful shutdown. FeatureGate enforces tier-based access (hard boundary).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8" w:name="_Toc100008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3 — Hardware Lock</w:t>
      </w:r>
      <w:bookmarkEnd w:id="100008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3-factor composite fingerprint binds license to physical hardware. CPUID + Motherboard ID + Windows SID, each SHA-256 hashed, combined into composite. Cannot be spoofed without physical hardware replacement. 3 activations/year for legitimate changes.</w:t>
      </w:r>
    </w:p>
    <w:tbl>
      <w:tblPr>
        <w:tblW w:type="dxa" w:w="9000"/>
        <w:tblBorders>
          <w:top w:val="single" w:color="14213D" w:sz="6"/>
          <w:left w:val="single" w:color="CBD5E1" w:sz="4"/>
          <w:bottom w:val="single" w:color="14213D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0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30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Changes When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CPUID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CPUID instruction (EAX/EBX/ECX/EDX)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CPU replaced</w:t>
            </w:r>
          </w:p>
        </w:tc>
      </w:tr>
      <w:tr>
        <w:trPr>
          <w:cantSplit/>
        </w:trPr>
        <w:tc>
          <w:tcPr>
            <w:tcW w:type="dxa" w:w="30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Motherboard ID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SMBIOS/DMI baseboard serial</w:t>
            </w:r>
          </w:p>
        </w:tc>
        <w:tc>
          <w:tcPr>
            <w:tcW w:type="dxa" w:w="300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Motherboard replaced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Windows SID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Registry MachineGuid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Windows reinstalled</w:t>
            </w:r>
          </w:p>
        </w:tc>
      </w:tr>
    </w:tbl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09" w:name="_Toc100009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4 — Activation Workflow</w:t>
      </w:r>
      <w:bookmarkEnd w:id="100009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Complete lifecycle: hardware fingerprint -&gt; activation (online/offline) -&gt; server validation -&gt; JWT -&gt; cached -&gt; trading -&gt; heartbeat -&gt; renew/revoke -&gt; grace -&gt; shutdown.</w:t>
      </w:r>
    </w:p>
    <w:p>
      <w:pPr>
        <w:spacing w:after="100" w:before="200"/>
        <w:jc w:val="center"/>
      </w:pPr>
      <w:r>
        <w:drawing>
          <wp:inline distT="0" distB="0" distL="0" distR="0">
            <wp:extent cx="5486400" cy="705394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4.1 — Activation workflow with online/offline paths, heartbeat, grace, expiry.</w:t>
      </w:r>
    </w:p>
    <w:p>
      <w:pPr>
        <w:pStyle w:val="Heading2"/>
        <w:spacing w:after="160" w:before="320"/>
      </w:pPr>
      <w:bookmarkStart w:id="100010" w:name="_Toc100010"/>
      <w:r>
        <w:rPr>
          <w:rFonts w:ascii="Liberation Serif" w:cs="Liberation Serif" w:eastAsia="Liberation Serif" w:hAnsi="Liberation Serif"/>
          <w:b/>
          <w:bCs/>
          <w:color w:val="14213D"/>
          <w:sz w:val="28"/>
          <w:szCs w:val="28"/>
        </w:rPr>
        <w:t xml:space="preserve">Heartbeat Protocol</w:t>
      </w:r>
      <w:bookmarkEnd w:id="100010"/>
    </w:p>
    <w:p>
      <w:pPr>
        <w:pBdr>
          <w:left w:val="single" w:color="C8102E" w:sz="18" w:space="6"/>
        </w:pBdr>
        <w:shd w:fill="F8FAFC" w:color="auto" w:val="clear"/>
        <w:spacing w:after="200" w:before="120" w:line="240"/>
        <w:ind w:left="240" w:right="240"/>
      </w:pPr>
      <w:r>
        <w:rPr>
          <w:rFonts w:ascii="DejaVu Sans Mono" w:cs="DejaVu Sans Mono" w:eastAsia="DejaVu Sans Mono" w:hAnsi="DejaVu Sans Mono"/>
          <w:color w:val="14213D"/>
          <w:sz w:val="18"/>
          <w:szCs w:val="18"/>
        </w:rPr>
        <w:t xml:space="preserve">Every 1 hour:
  Client -&gt; Server: HTTPS POST /v1/heartbeat
    payload: {tenant_id, hw_fingerprint, current_jwt}
  Server -&gt; Client: OK / RENEW / REVOKE / BLOCK
  If heartbeat fails: 7-day grace, retry every 15min, P2 alert
  After 7 days: graceful shutdown (flatten + halt)</w:t>
      </w:r>
    </w:p>
    <w:p>
      <w:pPr>
        <w:pStyle w:val="Heading2"/>
        <w:spacing w:after="160" w:before="320"/>
      </w:pPr>
      <w:bookmarkStart w:id="100011" w:name="_Toc100011"/>
      <w:r>
        <w:rPr>
          <w:rFonts w:ascii="Liberation Serif" w:cs="Liberation Serif" w:eastAsia="Liberation Serif" w:hAnsi="Liberation Serif"/>
          <w:b/>
          <w:bCs/>
          <w:color w:val="14213D"/>
          <w:sz w:val="28"/>
          <w:szCs w:val="28"/>
        </w:rPr>
        <w:t xml:space="preserve">License Expiry Types</w:t>
      </w:r>
      <w:bookmarkEnd w:id="100011"/>
    </w:p>
    <w:tbl>
      <w:tblPr>
        <w:tblW w:type="dxa" w:w="9000"/>
        <w:tblBorders>
          <w:top w:val="single" w:color="14213D" w:sz="6"/>
          <w:left w:val="single" w:color="CBD5E1" w:sz="4"/>
          <w:bottom w:val="single" w:color="14213D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5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5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50"/>
            <w:shd w:fill="14213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Liberation Serif" w:cs="Liberation Serif" w:eastAsia="Liberation Serif" w:hAnsi="Liberation Serif"/>
                <w:b/>
                <w:bCs/>
                <w:color w:val="FFFFFF"/>
                <w:sz w:val="20"/>
                <w:szCs w:val="20"/>
              </w:rPr>
              <w:t xml:space="preserve">Grace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30 days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Starter ($12k/yr)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7 days</w:t>
            </w:r>
          </w:p>
        </w:tc>
      </w:tr>
      <w:tr>
        <w:trPr>
          <w:cantSplit/>
        </w:trPr>
        <w:tc>
          <w:tcPr>
            <w:tcW w:type="dxa" w:w="22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Quarterly</w:t>
            </w:r>
          </w:p>
        </w:tc>
        <w:tc>
          <w:tcPr>
            <w:tcW w:type="dxa" w:w="22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90 days</w:t>
            </w:r>
          </w:p>
        </w:tc>
        <w:tc>
          <w:tcPr>
            <w:tcW w:type="dxa" w:w="22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Pro ($48k/yr)</w:t>
            </w:r>
          </w:p>
        </w:tc>
        <w:tc>
          <w:tcPr>
            <w:tcW w:type="dxa" w:w="225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7 days</w:t>
            </w:r>
          </w:p>
        </w:tc>
      </w:tr>
      <w:tr>
        <w:trPr>
          <w:cantSplit/>
        </w:trPr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Yearly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365 days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Enterprise ($180k/yr)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40"/>
            </w:pPr>
            <w:r>
              <w:rPr>
                <w:rFonts w:ascii="Liberation Serif" w:cs="Liberation Serif" w:eastAsia="Liberation Serif" w:hAnsi="Liberation Serif"/>
                <w:color w:val="14213D"/>
                <w:sz w:val="18"/>
                <w:szCs w:val="18"/>
              </w:rPr>
              <w:t xml:space="preserve">7 days</w:t>
            </w:r>
          </w:p>
        </w:tc>
      </w:tr>
    </w:tbl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12" w:name="_Toc100012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5 — Security Design</w:t>
      </w:r>
      <w:bookmarkEnd w:id="100012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4-layer crypto: RSA-4096 (signing, HSM-backed), AES-256-GCM (storage, key from hw_fp), TLS 1.3 + mTLS (transport), SHA-256 (fingerprinting). Key management: RSA private key never leaves HSM, public key embedded in binary. AES key derived from hw_fingerprint via PBKDF2 (100k iterations), never stored.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5.1 — Cryptographic stack and key management.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13" w:name="_Toc100013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6 — Anti-Crack Design</w:t>
      </w:r>
      <w:bookmarkEnd w:id="100013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5 independent layers. Goal: raise crack cost above license price, delay crack 6+ months per release. Server-side heartbeat is ultimate backstop.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6.1 — 5-layer anti-crack defense.</w:t>
      </w:r>
    </w:p>
    <w:p>
      <w:pPr>
        <w:pStyle w:val="Heading2"/>
        <w:spacing w:after="160" w:before="320"/>
      </w:pPr>
      <w:bookmarkStart w:id="100014" w:name="_Toc100014"/>
      <w:r>
        <w:rPr>
          <w:rFonts w:ascii="Liberation Serif" w:cs="Liberation Serif" w:eastAsia="Liberation Serif" w:hAnsi="Liberation Serif"/>
          <w:b/>
          <w:bCs/>
          <w:color w:val="14213D"/>
          <w:sz w:val="28"/>
          <w:szCs w:val="28"/>
        </w:rPr>
        <w:t xml:space="preserve">Crack Resistance Philosophy</w:t>
      </w:r>
      <w:bookmarkEnd w:id="100014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No client-side protection is unbreakable. The CLA raises the cost above the license price. Each layer adds 1-4 weeks delay. Combined: 6+ months per release. Server-side heartbeat cannot be bypassed by client-side cracking.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15" w:name="_Toc100015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7 — License Tier Matrix</w:t>
      </w:r>
      <w:bookmarkEnd w:id="100015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3 tiers: Starter ($12k, 1 strategy, $50k cap, monthly), Pro ($48k, 3 strategies, $500k cap, quarterly), Enterprise ($180k, unlimited, yearly, white-label, on-prem). FeatureGate enforces at runtime — hard boundary.</w:t>
      </w:r>
    </w:p>
    <w:p>
      <w:pPr>
        <w:spacing w:after="100" w:before="20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rFonts w:ascii="Liberation Serif" w:cs="Liberation Serif" w:eastAsia="Liberation Serif" w:hAnsi="Liberation Serif"/>
          <w:i/>
          <w:iCs/>
          <w:color w:val="4A5568"/>
          <w:sz w:val="18"/>
          <w:szCs w:val="18"/>
        </w:rPr>
        <w:t xml:space="preserve">Figure 7.1 — Tier matrix and validation tests.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16" w:name="_Toc100016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8 — Validation Tests</w:t>
      </w:r>
      <w:bookmarkEnd w:id="100016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120 tests: unit (70), integration (30), chaos (20). Critical: JWT signature verified, hw_fp match, expired -&gt; shutdown, revoked -&gt; halt &lt; 1h, tamper -&gt; halt, feature gate blocks, copied license -&gt; hw mismatch, VM clone -&gt; detected.</w:t>
      </w:r>
    </w:p>
    <w:p>
      <w:pPr>
        <w:pStyle w:val="Heading1"/>
        <w:pageBreakBefore/>
        <w:pBdr>
          <w:bottom w:val="single" w:color="C8102E" w:sz="18" w:space="4"/>
        </w:pBdr>
        <w:spacing w:after="240" w:before="480"/>
      </w:pPr>
      <w:bookmarkStart w:id="100017" w:name="_Toc100017"/>
      <w:r>
        <w:rPr>
          <w:rFonts w:ascii="Liberation Serif" w:cs="Liberation Serif" w:eastAsia="Liberation Serif" w:hAnsi="Liberation Serif"/>
          <w:b/>
          <w:bCs/>
          <w:color w:val="14213D"/>
          <w:sz w:val="40"/>
          <w:szCs w:val="40"/>
        </w:rPr>
        <w:t xml:space="preserve">Chapter 9 — Integration with TITAN Core</w:t>
      </w:r>
      <w:bookmarkEnd w:id="100017"/>
    </w:p>
    <w:p>
      <w:pPr>
        <w:spacing w:after="160" w:line="312"/>
        <w:jc w:val="both"/>
      </w:pPr>
      <w:r>
        <w:rPr>
          <w:rFonts w:ascii="Liberation Serif" w:cs="Liberation Serif" w:eastAsia="Liberation Serif" w:hAnsi="Liberation Serif"/>
          <w:color w:val="14213D"/>
          <w:sz w:val="22"/>
          <w:szCs w:val="22"/>
        </w:rPr>
        <w:t xml:space="preserve">CLA is the first module loaded and last unloaded. No module starts until LicenseValidator verifies JWT. License check at startup + every 1h heartbeat. On failure: graceful shutdown (flatten + halt + P1 alert).</w:t>
      </w:r>
    </w:p>
    <w:p>
      <w:pPr>
        <w:pBdr>
          <w:left w:val="single" w:color="C8102E" w:sz="18" w:space="6"/>
        </w:pBdr>
        <w:shd w:fill="F8FAFC" w:color="auto" w:val="clear"/>
        <w:spacing w:after="200" w:before="120" w:line="240"/>
        <w:ind w:left="240" w:right="240"/>
      </w:pPr>
      <w:r>
        <w:rPr>
          <w:rFonts w:ascii="DejaVu Sans Mono" w:cs="DejaVu Sans Mono" w:eastAsia="DejaVu Sans Mono" w:hAnsi="DejaVu Sans Mono"/>
          <w:color w:val="14213D"/>
          <w:sz w:val="18"/>
          <w:szCs w:val="18"/>
        </w:rPr>
        <w:t xml:space="preserve">TITAN startup:
  1. LicenseValidator.load() -&gt; load cached JWT
  2. Verify RSA signature (embedded public key)
  3. Check expiry -&gt; if expired: grace period
  4. Check hw_fingerprint -&gt; if mismatch: REJECT
  5. Extract claims (tier, features, max_capital)
  6. FeatureGate.activate(claims)
  7. Start heartbeat timer (1h)
  8. If all OK: start trading modules
  9. If any FAIL: graceful shutdown
TITAN shutdown (on license failure):
  1. Halt new orders
  2. Cancel pending
  3. Flatten all positions
  4. Notify operator (P1)
  5. Audit log: license_fail + reason
  6. Exit non-zero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iberation Serif" w:cs="Liberation Serif" w:eastAsia="Liberation Serif" w:hAnsi="Liberation Serif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jc w:val="center"/>
    </w:pPr>
    <w:r>
      <w:rPr>
        <w:rFonts w:ascii="Liberation Serif" w:cs="Liberation Serif" w:eastAsia="Liberation Serif" w:hAnsi="Liberation Serif"/>
        <w:i/>
        <w:iCs/>
        <w:color w:val="4A5568"/>
        <w:sz w:val="18"/>
        <w:szCs w:val="18"/>
      </w:rPr>
      <w:t xml:space="preserve">© 2026 TITAN Quant Research  ·  Proprietary &amp; Confidential		</w:t>
    </w:r>
    <w:r>
      <w:rPr>
        <w:rFonts w:ascii="Liberation Serif" w:cs="Liberation Serif" w:eastAsia="Liberation Serif" w:hAnsi="Liberation Serif"/>
        <w:b/>
        <w:bCs/>
        <w:color w:val="14213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13D" w:sz="6" w:space="4"/>
      </w:pBdr>
      <w:tabs>
        <w:tab w:val="right" w:pos="9026"/>
      </w:tabs>
      <w:jc w:val="left"/>
    </w:pPr>
    <w:r>
      <w:rPr>
        <w:rFonts w:ascii="Liberation Serif" w:cs="Liberation Serif" w:eastAsia="Liberation Serif" w:hAnsi="Liberation Serif"/>
        <w:i/>
        <w:iCs/>
        <w:color w:val="4A5568"/>
        <w:sz w:val="18"/>
        <w:szCs w:val="18"/>
      </w:rPr>
      <w:t xml:space="preserve">TITAN XAU AI — Commercial Licensing Architecture</w:t>
    </w:r>
    <w:r>
      <w:rPr>
        <w:sz w:val="18"/>
        <w:szCs w:val="18"/>
      </w:rPr>
      <w:t xml:space="preserve">		</w:t>
    </w:r>
    <w:r>
      <w:rPr>
        <w:rFonts w:ascii="Liberation Serif" w:cs="Liberation Serif" w:eastAsia="Liberation Serif" w:hAnsi="Liberation Serif"/>
        <w:b/>
        <w:bCs/>
        <w:color w:val="C8102E"/>
        <w:sz w:val="18"/>
        <w:szCs w:val="18"/>
      </w:rPr>
      <w:t xml:space="preserve">v1.0  ·  COMMERCIAL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Liberation Serif" w:cs="Liberation Serif" w:eastAsia="Liberation Serif" w:hAnsi="Liberation Serif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Liberation Serif" w:cs="Liberation Serif" w:eastAsia="Liberation Serif" w:hAnsi="Liberation Serif"/>
      <w:b/>
      <w:bCs/>
      <w:color w:val="1421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Liberation Serif" w:cs="Liberation Serif" w:eastAsia="Liberation Serif" w:hAnsi="Liberation Serif"/>
      <w:b/>
      <w:bCs/>
      <w:color w:val="C8102E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2a7aee44c0f700bc3caebbfc8865634cf4761331.png"/><Relationship Id="rId11" Type="http://schemas.openxmlformats.org/officeDocument/2006/relationships/image" Target="media/3bd475656c082573d949981b6f1e80622f8c526a.png"/><Relationship Id="rId12" Type="http://schemas.openxmlformats.org/officeDocument/2006/relationships/image" Target="media/a9a3d38f18c00ef7036a714f83602eed16aa8295.png"/><Relationship Id="rId13" Type="http://schemas.openxmlformats.org/officeDocument/2006/relationships/image" Target="media/7424624bb200455ad9ae719126a7a9a0a24617fe.png"/><Relationship Id="rId14" Type="http://schemas.openxmlformats.org/officeDocument/2006/relationships/image" Target="media/a37dd53d49e97a5b0f308b7728c8df975d1445b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 XAU AI — Commercial Licensing Architecture</dc:title>
  <dc:subject>Licensing</dc:subject>
  <dc:creator>TITAN Quant Research</dc:creator>
  <dc:description>Commercial Licensing Architecture</dc:description>
  <cp:lastModifiedBy>Un-named</cp:lastModifiedBy>
  <cp:revision>1</cp:revision>
  <dcterms:created xsi:type="dcterms:W3CDTF">2026-06-19T10:32:47.773Z</dcterms:created>
  <dcterms:modified xsi:type="dcterms:W3CDTF">2026-06-19T10:32:47.774Z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