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left"/>
      </w:pPr>
      <w:r>
        <w:rPr>
          <w:rFonts w:ascii="JetBrains Mono" w:cs="JetBrains Mono" w:eastAsia="JetBrains Mono" w:hAnsi="JetBrains Mono"/>
          <w:b/>
          <w:bCs/>
          <w:color w:val="C8102E"/>
          <w:sz w:val="18"/>
          <w:szCs w:val="18"/>
        </w:rPr>
        <w:t xml:space="preserve">TITAN  ·  QUANT  RESEARCH</w:t>
      </w:r>
    </w:p>
    <w:p>
      <w:pPr>
        <w:spacing w:after="80"/>
      </w:pPr>
      <w:r>
        <w:rPr>
          <w:rFonts w:ascii="Liberation Serif" w:cs="Liberation Serif" w:eastAsia="Liberation Serif" w:hAnsi="Liberation Serif"/>
          <w:b/>
          <w:bCs/>
          <w:color w:val="14213D"/>
          <w:sz w:val="56"/>
          <w:szCs w:val="56"/>
        </w:rPr>
        <w:t xml:space="preserve">TITAN XAU AI</w:t>
      </w:r>
    </w:p>
    <w:p>
      <w:pPr>
        <w:pBdr>
          <w:bottom w:val="single" w:color="14213D" w:sz="18" w:space="4"/>
        </w:pBdr>
        <w:spacing w:after="720"/>
      </w:pPr>
      <w:r>
        <w:rPr>
          <w:rFonts w:ascii="JetBrains Mono" w:cs="JetBrains Mono" w:eastAsia="JetBrains Mono" w:hAnsi="JetBrains Mono"/>
          <w:color w:val="4A5568"/>
          <w:sz w:val="18"/>
          <w:szCs w:val="18"/>
        </w:rPr>
        <w:t xml:space="preserve">INSTITUTIONAL  TRADING  SYSTEMS</w:t>
      </w:r>
    </w:p>
    <w:p>
      <w:pPr>
        <w:spacing w:after="360" w:before="720"/>
      </w:pPr>
      <w:r>
        <w:rPr>
          <w:rFonts w:ascii="JetBrains Mono" w:cs="JetBrains Mono" w:eastAsia="JetBrains Mono" w:hAnsi="JetBrains Mono"/>
          <w:b/>
          <w:bCs/>
          <w:color w:val="C8102E"/>
          <w:sz w:val="20"/>
          <w:szCs w:val="20"/>
        </w:rPr>
        <w:t xml:space="preserve">M O D U L E   9   ·   C O S T   I N T E L</w:t>
      </w:r>
    </w:p>
    <w:p>
      <w:pPr>
        <w:spacing w:after="360" w:line="240"/>
      </w:pPr>
      <w:r>
        <w:rPr>
          <w:rFonts w:ascii="Liberation Serif" w:cs="Liberation Serif" w:eastAsia="Liberation Serif" w:hAnsi="Liberation Serif"/>
          <w:b/>
          <w:bCs/>
          <w:color w:val="14213D"/>
          <w:sz w:val="56"/>
          <w:szCs w:val="56"/>
        </w:rPr>
        <w:t xml:space="preserve">Execution Cost</w:t>
      </w:r>
      <w:r>
        <w:rPr>
          <w:rFonts w:ascii="Liberation Serif" w:cs="Liberation Serif" w:eastAsia="Liberation Serif" w:hAnsi="Liberation Serif"/>
          <w:b/>
          <w:bCs/>
          <w:color w:val="C8102E"/>
          <w:sz w:val="56"/>
          <w:szCs w:val="56"/>
        </w:rPr>
        <w:t xml:space="preserve"> Intelligence</w:t>
      </w:r>
    </w:p>
    <w:p>
      <w:pPr>
        <w:spacing w:after="720" w:line="360"/>
      </w:pPr>
      <w:r>
        <w:rPr>
          <w:rFonts w:ascii="Liberation Serif" w:cs="Liberation Serif" w:eastAsia="Liberation Serif" w:hAnsi="Liberation Serif"/>
          <w:i/>
          <w:iCs/>
          <w:color w:val="4A5568"/>
          <w:sz w:val="24"/>
          <w:szCs w:val="24"/>
        </w:rPr>
        <w:t xml:space="preserve">5 cost components (spread, commission, swap, slippage, latency) in bps. Trade only if expected edge remains positive. EQS per-trade scoring. BQS broker ranking. Adaptive cost learning.</w:t>
      </w:r>
    </w:p>
    <w:p>
      <w:pPr>
        <w:pBdr>
          <w:top w:val="single" w:color="14213D" w:sz="12" w:space="4"/>
        </w:pBdr>
        <w:spacing w:after="120" w:before="240"/>
      </w:pPr>
      <w:r>
        <w:rPr>
          <w:rFonts w:ascii="JetBrains Mono" w:cs="JetBrains Mono" w:eastAsia="JetBrains Mono" w:hAnsi="JetBrains Mono"/>
          <w:b/>
          <w:bCs/>
          <w:color w:val="C8102E"/>
          <w:sz w:val="16"/>
          <w:szCs w:val="16"/>
        </w:rPr>
        <w:t xml:space="preserve">KEY METRICS</w:t>
      </w:r>
    </w:p>
    <w:tbl>
      <w:tblPr>
        <w:tblW w:type="dxa" w:w="9000"/>
        <w:tblBorders>
          <w:top w:val="single" w:color="14213D" w:sz="6"/>
          <w:left w:val="single" w:color="CBD5E1" w:sz="4"/>
          <w:bottom w:val="single" w:color="14213D" w:sz="6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4500"/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Liberation Serif" w:cs="Liberation Serif" w:eastAsia="Liberation Serif" w:hAnsi="Liberation Serif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Liberation Serif" w:cs="Liberation Serif" w:eastAsia="Liberation Serif" w:hAnsi="Liberation Serif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Cost components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5 (spread, commission, swap, slippage, latency)</w:t>
            </w:r>
          </w:p>
        </w:tc>
      </w:tr>
      <w:tr>
        <w:trPr>
          <w:cantSplit/>
        </w:trPr>
        <w:tc>
          <w:tcPr>
            <w:tcW w:type="dxa" w:w="450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Min edge threshold</w:t>
            </w:r>
          </w:p>
        </w:tc>
        <w:tc>
          <w:tcPr>
            <w:tcW w:type="dxa" w:w="450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3.0 bps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Brokers ranked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6 (BQS monthly)</w:t>
            </w:r>
          </w:p>
        </w:tc>
      </w:tr>
      <w:tr>
        <w:trPr>
          <w:cantSplit/>
        </w:trPr>
        <w:tc>
          <w:tcPr>
            <w:tcW w:type="dxa" w:w="450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EQS factors</w:t>
            </w:r>
          </w:p>
        </w:tc>
        <w:tc>
          <w:tcPr>
            <w:tcW w:type="dxa" w:w="450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5 (per-trade, 0-100)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Decision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Trade only if edge &gt; 0</w:t>
            </w:r>
          </w:p>
        </w:tc>
      </w:tr>
    </w:tbl>
    <w:p>
      <w:pPr>
        <w:spacing w:after="360"/>
      </w:pPr>
    </w:p>
    <w:p>
      <w:pPr>
        <w:spacing w:after="40"/>
      </w:pPr>
      <w:r>
        <w:rPr>
          <w:rFonts w:ascii="JetBrains Mono" w:cs="JetBrains Mono" w:eastAsia="JetBrains Mono" w:hAnsi="JetBrains Mono"/>
          <w:color w:val="4A5568"/>
          <w:sz w:val="18"/>
          <w:szCs w:val="18"/>
        </w:rPr>
        <w:t xml:space="preserve">Prepared by  </w:t>
      </w:r>
      <w:r>
        <w:rPr>
          <w:rFonts w:ascii="JetBrains Mono" w:cs="JetBrains Mono" w:eastAsia="JetBrains Mono" w:hAnsi="JetBrains Mono"/>
          <w:b/>
          <w:bCs/>
          <w:color w:val="14213D"/>
          <w:sz w:val="18"/>
          <w:szCs w:val="18"/>
        </w:rPr>
        <w:t xml:space="preserve">TITAN Quant Research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4A5568"/>
          <w:sz w:val="18"/>
          <w:szCs w:val="18"/>
        </w:rPr>
        <w:t xml:space="preserve">Reviewed by  </w:t>
      </w:r>
      <w:r>
        <w:rPr>
          <w:rFonts w:ascii="JetBrains Mono" w:cs="JetBrains Mono" w:eastAsia="JetBrains Mono" w:hAnsi="JetBrains Mono"/>
          <w:b/>
          <w:bCs/>
          <w:color w:val="14213D"/>
          <w:sz w:val="18"/>
          <w:szCs w:val="18"/>
        </w:rPr>
        <w:t xml:space="preserve">CTO · Lead Quant · Risk Officer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4A5568"/>
          <w:sz w:val="18"/>
          <w:szCs w:val="18"/>
        </w:rPr>
        <w:t xml:space="preserve">Classification  </w:t>
      </w:r>
      <w:r>
        <w:rPr>
          <w:rFonts w:ascii="JetBrains Mono" w:cs="JetBrains Mono" w:eastAsia="JetBrains Mono" w:hAnsi="JetBrains Mono"/>
          <w:b/>
          <w:bCs/>
          <w:color w:val="C8102E"/>
          <w:sz w:val="18"/>
          <w:szCs w:val="18"/>
        </w:rPr>
        <w:t xml:space="preserve">INTERNAL — ENGINEERING</w:t>
      </w:r>
    </w:p>
    <w:p>
      <w:pPr>
        <w:pBdr>
          <w:top w:val="single" w:color="14213D" w:sz="6" w:space="4"/>
        </w:pBdr>
        <w:spacing w:after="0"/>
      </w:pPr>
      <w:r>
        <w:rPr>
          <w:rFonts w:ascii="JetBrains Mono" w:cs="JetBrains Mono" w:eastAsia="JetBrains Mono" w:hAnsi="JetBrains Mono"/>
          <w:color w:val="4A5568"/>
          <w:sz w:val="18"/>
          <w:szCs w:val="18"/>
        </w:rPr>
        <w:t xml:space="preserve">Version  </w:t>
      </w:r>
      <w:r>
        <w:rPr>
          <w:rFonts w:ascii="JetBrains Mono" w:cs="JetBrains Mono" w:eastAsia="JetBrains Mono" w:hAnsi="JetBrains Mono"/>
          <w:b/>
          <w:bCs/>
          <w:color w:val="14213D"/>
          <w:sz w:val="18"/>
          <w:szCs w:val="18"/>
        </w:rPr>
        <w:t xml:space="preserve">v1.0  ·  19 June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C8102E" w:sz="18" w:space="4"/>
        </w:pBdr>
        <w:spacing w:after="240"/>
      </w:pPr>
      <w:r>
        <w:rPr>
          <w:rFonts w:ascii="Liberation Serif" w:cs="Liberation Serif" w:eastAsia="Liberation Serif" w:hAnsi="Liberation Serif"/>
          <w:b/>
          <w:bCs/>
          <w:color w:val="14213D"/>
          <w:sz w:val="44"/>
          <w:szCs w:val="44"/>
        </w:rPr>
        <w:t xml:space="preserve">Table of Contents</w:t>
      </w:r>
    </w:p>
    <w:p>
      <w:pPr>
        <w:spacing w:after="280"/>
      </w:pPr>
      <w:r>
        <w:rPr>
          <w:rFonts w:ascii="Liberation Serif" w:cs="Liberation Serif" w:eastAsia="Liberation Serif" w:hAnsi="Liberation Serif"/>
          <w:i/>
          <w:iCs/>
          <w:color w:val="4A5568"/>
          <w:sz w:val="18"/>
          <w:szCs w:val="18"/>
        </w:rPr>
        <w:t xml:space="preserve">Right-click the table below and choose "Update Field" to refresh page numbers.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 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Chapter 1 — Executive Summary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Chapter 2 — Architecture Overview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Chapter 3 — Decision Model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Chapter 4 — 5 Cost Components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Chapter 5 — Performance &amp; Broker Scoring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Chapter 6 — Validation Logic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Chapter 7 — Cost Learning Engine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Chapter 8 — Validation Tests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Chapter 9 — Integration with TITAN Core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 w:start="1" w:fmt="lowerRoman"/>
          <w:docGrid w:linePitch="360"/>
        </w:sectPr>
      </w:pP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00" w:name="_Toc100000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1 — Executive Summary</w:t>
      </w:r>
      <w:bookmarkEnd w:id="100000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The Execution Cost Intelligence (ECI) module is Module 9 of the TITAN XAU AI trading architecture. It is the system's cost-awareness layer — a real-time cost measurement, modeling, and decision framework that ensures no trade is placed unless the expected edge remains positive after all execution costs. The ECI measures 5 cost components (spread, commission, swap, slippage, latency), aggregates them into a total cost estimate in basis points, and computes the expected net edge: signal_edge minus total_cost. If the net edge is negative, the trade is rejected.</w:t>
      </w:r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The module's core innovation is the EdgeCalculator — a pre-trade decision model that normalizes all costs to basis points of notional, making them comparable across brokers. Two scoring systems provide ongoing quality assessment: EQS (per-trade, 5-factor) and BQS (per-broker, comparative ranking). A Cost Learning Engine continuously updates slippage and latency models from realized fills.</w:t>
      </w: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01" w:name="_Toc100001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2 — Architecture Overview</w:t>
      </w:r>
      <w:bookmarkEnd w:id="100001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The ECI is organized into 6 layers: cost measurement, cost model, decision model, performance scoring, broker quality scoring, and audit/observability.</w:t>
      </w:r>
    </w:p>
    <w:p>
      <w:pPr>
        <w:spacing w:after="100" w:before="200"/>
        <w:jc w:val="center"/>
      </w:pPr>
      <w:r>
        <w:drawing>
          <wp:inline distT="0" distB="0" distL="0" distR="0">
            <wp:extent cx="59436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rFonts w:ascii="Liberation Serif" w:cs="Liberation Serif" w:eastAsia="Liberation Serif" w:hAnsi="Liberation Serif"/>
          <w:i/>
          <w:iCs/>
          <w:color w:val="4A5568"/>
          <w:sz w:val="18"/>
          <w:szCs w:val="18"/>
        </w:rPr>
        <w:t xml:space="preserve">Figure 2.1 — ECI architecture: 6 layers, 5 cost meters, decision model, scoring, learning.</w:t>
      </w: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02" w:name="_Toc100002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3 — Decision Model</w:t>
      </w:r>
      <w:bookmarkEnd w:id="100002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The decision model computes expected net edge for every signal: expected_edge = signal_edge - total_cost. If edge &lt;= 0: NO TRADE. If 0 &lt; edge &lt; 3 bps: REDUCE SIZE. If edge &gt;= 3 bps: TRADE (full size).</w:t>
      </w:r>
    </w:p>
    <w:p>
      <w:pPr>
        <w:spacing w:after="100" w:before="200"/>
        <w:jc w:val="center"/>
      </w:pPr>
      <w:r>
        <w:drawing>
          <wp:inline distT="0" distB="0" distL="0" distR="0">
            <wp:extent cx="5486400" cy="666205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6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rFonts w:ascii="Liberation Serif" w:cs="Liberation Serif" w:eastAsia="Liberation Serif" w:hAnsi="Liberation Serif"/>
          <w:i/>
          <w:iCs/>
          <w:color w:val="4A5568"/>
          <w:sz w:val="18"/>
          <w:szCs w:val="18"/>
        </w:rPr>
        <w:t xml:space="preserve">Figure 3.1 — Decision model flowchart.</w:t>
      </w: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03" w:name="_Toc100003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4 — 5 Cost Components</w:t>
      </w:r>
      <w:bookmarkEnd w:id="100003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All costs normalized to bps: spread (bid-ask), commission (per lot/million/pct), swap (overnight), slippage (size-dependent), latency (price drift during signal-to-fill).</w:t>
      </w:r>
    </w:p>
    <w:p>
      <w:pPr>
        <w:spacing w:after="100" w:before="2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rFonts w:ascii="Liberation Serif" w:cs="Liberation Serif" w:eastAsia="Liberation Serif" w:hAnsi="Liberation Serif"/>
          <w:i/>
          <w:iCs/>
          <w:color w:val="4A5568"/>
          <w:sz w:val="18"/>
          <w:szCs w:val="18"/>
        </w:rPr>
        <w:t xml:space="preserve">Figure 4.1 — 5 cost components with formulas and ranges.</w:t>
      </w: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04" w:name="_Toc100004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5 — Performance &amp; Broker Scoring</w:t>
      </w:r>
      <w:bookmarkEnd w:id="100004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EQS = 5-factor per-trade score (spread 0.30, slip 0.25, comm 0.20, latency 0.15, swap 0.10). BQS = 6-broker comparative ranking, monthly recompute.</w:t>
      </w:r>
    </w:p>
    <w:p>
      <w:pPr>
        <w:spacing w:after="100" w:before="200"/>
        <w:jc w:val="center"/>
      </w:pPr>
      <w:r>
        <w:drawing>
          <wp:inline distT="0" distB="0" distL="0" distR="0">
            <wp:extent cx="59436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rFonts w:ascii="Liberation Serif" w:cs="Liberation Serif" w:eastAsia="Liberation Serif" w:hAnsi="Liberation Serif"/>
          <w:i/>
          <w:iCs/>
          <w:color w:val="4A5568"/>
          <w:sz w:val="18"/>
          <w:szCs w:val="18"/>
        </w:rPr>
        <w:t xml:space="preserve">Figure 5.1 — EQS 5-factor model and BQS 6-broker ranking.</w:t>
      </w: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05" w:name="_Toc100005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6 — Validation Logic</w:t>
      </w:r>
      <w:bookmarkEnd w:id="100005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8 pre-trade checks + 6 post-trade verifications. Key: V6 (edge &gt; 0), V7 (edge &gt; 3 bps), V10 (slip &lt;= 1.5x predicted), V14 (EQS &gt;= 40).</w:t>
      </w:r>
    </w:p>
    <w:p>
      <w:pPr>
        <w:spacing w:after="100" w:before="2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rFonts w:ascii="Liberation Serif" w:cs="Liberation Serif" w:eastAsia="Liberation Serif" w:hAnsi="Liberation Serif"/>
          <w:i/>
          <w:iCs/>
          <w:color w:val="4A5568"/>
          <w:sz w:val="18"/>
          <w:szCs w:val="18"/>
        </w:rPr>
        <w:t xml:space="preserve">Figure 6.1 — 8 pre-trade + 6 post-trade validation checks.</w:t>
      </w: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06" w:name="_Toc100006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7 — Cost Learning Engine</w:t>
      </w:r>
      <w:bookmarkEnd w:id="100006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Continuous model calibration from realized fills. EMA updates (alpha=0.05) on slippage, latency, and spread models. Per-broker, per-session, per-regime.</w:t>
      </w:r>
    </w:p>
    <w:p>
      <w:pPr>
        <w:spacing w:after="100" w:before="200"/>
        <w:jc w:val="center"/>
      </w:pPr>
      <w:r>
        <w:drawing>
          <wp:inline distT="0" distB="0" distL="0" distR="0">
            <wp:extent cx="59436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rFonts w:ascii="Liberation Serif" w:cs="Liberation Serif" w:eastAsia="Liberation Serif" w:hAnsi="Liberation Serif"/>
          <w:i/>
          <w:iCs/>
          <w:color w:val="4A5568"/>
          <w:sz w:val="18"/>
          <w:szCs w:val="18"/>
        </w:rPr>
        <w:t xml:space="preserve">Figure 7.1 — Learning loop: fill → compare → update → better estimates.</w:t>
      </w: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07" w:name="_Toc100007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8 — Validation Tests</w:t>
      </w:r>
      <w:bookmarkEnd w:id="100007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180 tests. CI gates: no negative-edge trade, EQS &gt;= 60 rolling, realized &lt;= 1.5x expected (95%), BQS monthly.</w:t>
      </w:r>
    </w:p>
    <w:p>
      <w:pPr>
        <w:spacing w:after="100" w:before="2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rFonts w:ascii="Liberation Serif" w:cs="Liberation Serif" w:eastAsia="Liberation Serif" w:hAnsi="Liberation Serif"/>
          <w:i/>
          <w:iCs/>
          <w:color w:val="4A5568"/>
          <w:sz w:val="18"/>
          <w:szCs w:val="18"/>
        </w:rPr>
        <w:t xml:space="preserve">Figure 8.1 — Test pyramid and sample cases.</w:t>
      </w: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08" w:name="_Toc100008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9 — Integration with TITAN Core</w:t>
      </w:r>
      <w:bookmarkEnd w:id="100008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ECI sits between Strategy Coordinator and Execution Engine. Consumes BrokerProfile (Module 2), emits cost-adjusted signals to Execution Engine (Module 3), respects Risk Engine (Module 8) ceiling.</w:t>
      </w:r>
    </w:p>
    <w:p>
      <w:pPr>
        <w:pBdr>
          <w:left w:val="single" w:color="C8102E" w:sz="18" w:space="6"/>
        </w:pBdr>
        <w:shd w:fill="F8FAFC" w:color="auto" w:val="clear"/>
        <w:spacing w:after="200" w:before="120" w:line="240"/>
        <w:ind w:left="240" w:right="240"/>
      </w:pPr>
      <w:r>
        <w:rPr>
          <w:rFonts w:ascii="DejaVu Sans Mono" w:cs="DejaVu Sans Mono" w:eastAsia="DejaVu Sans Mono" w:hAnsi="DejaVu Sans Mono"/>
          <w:color w:val="14213D"/>
          <w:sz w:val="18"/>
          <w:szCs w:val="18"/>
        </w:rPr>
        <w:t xml:space="preserve">Signal from Strategy / AI Ensemble
  -&gt; ECI pre-trade check:
    -&gt; compute total_cost_bps (5 components)
    -&gt; expected_edge = signal_edge - total_cost
    -&gt; if edge &lt;= 0: NO TRADE
    -&gt; if 0 &lt; edge &lt; 3 bps: REDUCE SIZE
    -&gt; if edge &gt;= 3 bps: TRADE (full size)
    -&gt; select best broker (highest BQS)
    -&gt; risk gate check (Module 8)
    -&gt; emit cost-adjusted signal to Execution Engine
  -&gt; Post-trade: update models, compute EQS, daily TCA report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iberation Serif" w:cs="Liberation Serif" w:eastAsia="Liberation Serif" w:hAnsi="Liberation Serif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jc w:val="center"/>
    </w:pPr>
    <w:r>
      <w:rPr>
        <w:rFonts w:ascii="Liberation Serif" w:cs="Liberation Serif" w:eastAsia="Liberation Serif" w:hAnsi="Liberation Serif"/>
        <w:i/>
        <w:iCs/>
        <w:color w:val="4A5568"/>
        <w:sz w:val="18"/>
        <w:szCs w:val="18"/>
      </w:rPr>
      <w:t xml:space="preserve">© 2026 TITAN Quant Research  ·  Proprietary &amp; Confidential		</w:t>
    </w:r>
    <w:r>
      <w:rPr>
        <w:rFonts w:ascii="Liberation Serif" w:cs="Liberation Serif" w:eastAsia="Liberation Serif" w:hAnsi="Liberation Serif"/>
        <w:b/>
        <w:bCs/>
        <w:color w:val="14213D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13D" w:sz="6" w:space="4"/>
      </w:pBdr>
      <w:tabs>
        <w:tab w:val="right" w:pos="9026"/>
      </w:tabs>
      <w:jc w:val="left"/>
    </w:pPr>
    <w:r>
      <w:rPr>
        <w:rFonts w:ascii="Liberation Serif" w:cs="Liberation Serif" w:eastAsia="Liberation Serif" w:hAnsi="Liberation Serif"/>
        <w:i/>
        <w:iCs/>
        <w:color w:val="4A5568"/>
        <w:sz w:val="18"/>
        <w:szCs w:val="18"/>
      </w:rPr>
      <w:t xml:space="preserve">TITAN XAU AI — Execution Cost Intelligence</w:t>
    </w:r>
    <w:r>
      <w:rPr>
        <w:sz w:val="18"/>
        <w:szCs w:val="18"/>
      </w:rPr>
      <w:t xml:space="preserve">		</w:t>
    </w:r>
    <w:r>
      <w:rPr>
        <w:rFonts w:ascii="Liberation Serif" w:cs="Liberation Serif" w:eastAsia="Liberation Serif" w:hAnsi="Liberation Serif"/>
        <w:b/>
        <w:bCs/>
        <w:color w:val="C8102E"/>
        <w:sz w:val="18"/>
        <w:szCs w:val="18"/>
      </w:rPr>
      <w:t xml:space="preserve">v1.0  ·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Liberation Serif" w:cs="Liberation Serif" w:eastAsia="Liberation Serif" w:hAnsi="Liberation Serif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Liberation Serif" w:cs="Liberation Serif" w:eastAsia="Liberation Serif" w:hAnsi="Liberation Serif"/>
      <w:b/>
      <w:bCs/>
      <w:color w:val="1421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Liberation Serif" w:cs="Liberation Serif" w:eastAsia="Liberation Serif" w:hAnsi="Liberation Serif"/>
      <w:b/>
      <w:bCs/>
      <w:color w:val="C8102E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10766ac04788bd6891c2fbd5defedc7e3759a936.png"/><Relationship Id="rId11" Type="http://schemas.openxmlformats.org/officeDocument/2006/relationships/image" Target="media/fd0704534c96c46946f6d336778a6fadfe04ee23.png"/><Relationship Id="rId12" Type="http://schemas.openxmlformats.org/officeDocument/2006/relationships/image" Target="media/c59e92fedbf08fbb8f6355cbdb237fe4112a81ef.png"/><Relationship Id="rId13" Type="http://schemas.openxmlformats.org/officeDocument/2006/relationships/image" Target="media/4727652f9867a467228da3bbfdc7149d8b506890.png"/><Relationship Id="rId14" Type="http://schemas.openxmlformats.org/officeDocument/2006/relationships/image" Target="media/12a5b274db078f0dd7282ec4c4de50123211745c.png"/><Relationship Id="rId15" Type="http://schemas.openxmlformats.org/officeDocument/2006/relationships/image" Target="media/f7ff024e775c43c35ff58c8ba5e52dcc3eafe254.png"/><Relationship Id="rId16" Type="http://schemas.openxmlformats.org/officeDocument/2006/relationships/image" Target="media/7d6294a6f452e91b39665ea965c17a9ce54d586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TITAN XAU AI — Execution Cost Intelligence</dc:title>
  <dc:subject>Cost intelligence</dc:subject>
  <dc:creator>TITAN Quant Research</dc:creator>
  <dc:description>Execution Cost Intelligence</dc:description>
  <cp:lastModifiedBy>Un-named</cp:lastModifiedBy>
  <cp:revision>1</cp:revision>
  <dcterms:created xsi:type="dcterms:W3CDTF">2026-06-19T09:55:53.365Z</dcterms:created>
  <dcterms:modified xsi:type="dcterms:W3CDTF">2026-06-19T09:55:53.366Z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