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7   ·   A I   S T A C K</w:t>
      </w:r>
    </w:p>
    <w:p>
      <w:pPr>
        <w:spacing w:after="360" w:line="240"/>
      </w:pPr>
      <w:r>
        <w:rPr>
          <w:rFonts w:ascii="Liberation Serif" w:cs="Liberation Serif" w:eastAsia="Liberation Serif" w:hAnsi="Liberation Serif"/>
          <w:b/>
          <w:bCs/>
          <w:color w:val="14213D"/>
          <w:sz w:val="60"/>
          <w:szCs w:val="60"/>
        </w:rPr>
        <w:t xml:space="preserve">Hybrid</w:t>
      </w:r>
      <w:r>
        <w:rPr>
          <w:rFonts w:ascii="Liberation Serif" w:cs="Liberation Serif" w:eastAsia="Liberation Serif" w:hAnsi="Liberation Serif"/>
          <w:b/>
          <w:bCs/>
          <w:color w:val="C8102E"/>
          <w:sz w:val="60"/>
          <w:szCs w:val="60"/>
        </w:rPr>
        <w:t xml:space="preserve"> AI</w:t>
      </w:r>
      <w:r>
        <w:rPr>
          <w:rFonts w:ascii="Liberation Serif" w:cs="Liberation Serif" w:eastAsia="Liberation Serif" w:hAnsi="Liberation Serif"/>
          <w:b/>
          <w:bCs/>
          <w:color w:val="14213D"/>
          <w:sz w:val="60"/>
          <w:szCs w:val="60"/>
        </w:rPr>
        <w:t xml:space="preserve"> Stack</w:t>
      </w:r>
    </w:p>
    <w:p>
      <w:pPr>
        <w:spacing w:after="720" w:line="360"/>
      </w:pPr>
      <w:r>
        <w:rPr>
          <w:rFonts w:ascii="Liberation Serif" w:cs="Liberation Serif" w:eastAsia="Liberation Serif" w:hAnsi="Liberation Serif"/>
          <w:i/>
          <w:iCs/>
          <w:color w:val="4A5568"/>
          <w:sz w:val="24"/>
          <w:szCs w:val="24"/>
        </w:rPr>
        <w:t xml:space="preserve">4-model ensemble: XGBoost (direction) + LSTM (sequence) + Transformer (context) + RL (management). Weighted voting, confidence gating, SHAP explainability. Ensemble Sharpe 2.28 (+33% vs best single model).</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PERFORMANCE (24mo, 6 brokers)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Ensemble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Best Single</w:t>
            </w:r>
          </w:p>
        </w:tc>
        <w:tc>
          <w:tcPr>
            <w:tcW w:type="dxa" w:w="27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Improvement</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Sharpe Ratio</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2.28</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1.72 (XGBoost)</w:t>
            </w:r>
          </w:p>
        </w:tc>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+33%</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Profit Factor</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2.42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1.85</w:t>
            </w:r>
          </w:p>
        </w:tc>
        <w:tc>
          <w:tcPr>
            <w:tcW w:type="dxa" w:w="27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+31%</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Max Drawdown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3.9%</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5.8%</w:t>
            </w:r>
          </w:p>
        </w:tc>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-33%</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 Ruin</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0.3%</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w:t>
            </w:r>
          </w:p>
        </w:tc>
        <w:tc>
          <w:tcPr>
            <w:tcW w:type="dxa" w:w="27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-75%</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Net Annual</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+27.5%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+18.5%</w:t>
            </w:r>
          </w:p>
        </w:tc>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+49%</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Quant · ML Engineer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Architecture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Model Roles</w:t>
            </w:r>
            <w:r>
              <w:tab/>
            </w:r>
            <w:r>
              <w:fldChar w:fldCharType="begin"/>
            </w:r>
            <w:r>
              <w:instrText xml:space="preserve"> PAGEREF _Toc100002 \h </w:instrText>
            </w:r>
            <w:r>
              <w:fldChar w:fldCharType="separate"/>
            </w:r>
            <w:r>
              <w:t>4</w:t>
            </w:r>
            <w:r>
              <w:fldChar w:fldCharType="end"/>
            </w:r>
          </w:hyperlink>
        </w:p>
        <w:p>
          <w:pPr>
            <w:pStyle w:val="12"/>
            <w:ind w:left="720"/>
            <w:tabs>
              <w:tab w:val="right" w:leader="dot" w:pos="9026"/>
            </w:tabs>
            <w:spacing w:before="120" w:after="60"/>
          </w:pPr>
          <w:hyperlink w:anchor="_Toc100003" w:history="1">
            <w:r>
              <w:rPr>
                <w:rStyle w:val="Hyperlink"/>
              </w:rPr>
              <w:t>Model 1: XGBoost — Direction Prediction (weight: 0.35)</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Model 2: LSTM — Sequence Learning (weight: 0.25)</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Model 3: Transformer — Context Analysis (weight: 0.25)</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Model 4: RL (PPO) — Trade Management (weight: 0.15)</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Chapter 3 — Training Pipeline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Training Data</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Chapter 4 — Inference Pipeline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Latency Budget</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Chapter 5 — Ensemble Logic</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Voting Formula</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Why 4 Models?</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Chapter 6 — Model Orchestration</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Dynamic Weight Rebalancing</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Failover Scenarios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Chapter 7 — Monitoring Framework</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Auto-Mitigation</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Chapter 8 — Validation &amp; Backtest</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Key Finding: Diversification Works</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Chapter 9 — Model Details</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Chapter 10 — Integration with TITAN Core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Signal Flow</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Appendix A — Sample AISignal Output</w:t>
            </w:r>
            <w:r>
              <w:tab/>
            </w:r>
            <w:r>
              <w:fldChar w:fldCharType="begin"/>
            </w:r>
            <w:r>
              <w:instrText xml:space="preserve"> PAGEREF _Toc100024 \h </w:instrText>
            </w:r>
            <w:r>
              <w:fldChar w:fldCharType="separate"/>
            </w:r>
            <w:r>
              <w:t>11</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Hybrid AI Stack (HAIS) is Module 7 of the TITAN XAU AI trading architecture. It is a 4-model ensemble that combines XGBoost (direction prediction), LSTM (sequence learning), Transformer (context analysis), and Reinforcement Learning (trade management) into a unified signal-generation system. The four models are complementary — each addresses a specific gap that the others cannot fill — and their outputs are combined via weighted voting with confidence-based gating.</w:t>
      </w:r>
    </w:p>
    <w:p>
      <w:pPr>
        <w:spacing w:after="160" w:line="312"/>
        <w:jc w:val="both"/>
      </w:pPr>
      <w:r>
        <w:rPr>
          <w:rFonts w:ascii="Liberation Serif" w:cs="Liberation Serif" w:eastAsia="Liberation Serif" w:hAnsi="Liberation Serif"/>
          <w:color w:val="14213D"/>
          <w:sz w:val="22"/>
          <w:szCs w:val="22"/>
        </w:rPr>
        <w:t xml:space="preserve">The ensemble produces an AISignal containing: final direction (UP/DOWN), confidence score (0-1, derived from inter-model agreement), probability distribution, explainability score (SHAP concentration), RL management action (hold/close/trim/add), and top-3 contributing features. This signal is consumed by the Strategy Coordinator, which gates it through the regime detector before dispatching to the appropriate strategy.</w:t>
      </w:r>
    </w:p>
    <w:p>
      <w:pPr>
        <w:spacing w:after="160" w:line="312"/>
        <w:jc w:val="both"/>
      </w:pPr>
      <w:r>
        <w:rPr>
          <w:rFonts w:ascii="Liberation Serif" w:cs="Liberation Serif" w:eastAsia="Liberation Serif" w:hAnsi="Liberation Serif"/>
          <w:color w:val="14213D"/>
          <w:sz w:val="22"/>
          <w:szCs w:val="22"/>
        </w:rPr>
        <w:t xml:space="preserve">The key innovation is the separation of direction prediction (XGBoost + LSTM + Transformer) from trade management (RL). The three direction models vote with weights 0.35, 0.25, and 0.25 respectively; the RL model (weight 0.15) does not vote on direction but instead provides optimal management actions for open positions. This separation leverages each model's strength: tree-based and sequence models are best at pattern recognition (direction), while RL is best at sequential decision-making (management).</w:t>
      </w:r>
    </w:p>
    <w:p>
      <w:pPr>
        <w:spacing w:after="160" w:line="312"/>
        <w:jc w:val="both"/>
      </w:pPr>
      <w:r>
        <w:rPr>
          <w:rFonts w:ascii="Liberation Serif" w:cs="Liberation Serif" w:eastAsia="Liberation Serif" w:hAnsi="Liberation Serif"/>
          <w:color w:val="14213D"/>
          <w:sz w:val="22"/>
          <w:szCs w:val="22"/>
        </w:rPr>
        <w:t xml:space="preserve">Backtested over 24 months across 6 brokers, the ensemble achieves Sharpe 2.28 (vs 1.72 for XGBoost alone — a 33% improvement), PF 2.42, MaxDD 3.9% (vs 5.8% for XGBoost alone — a 33% reduction), and RoR 0.3%. The diversification benefit is clear: the ensemble outperforms every individual model on every metric. The RL model adds adaptive trade management that improves Sharpe by 6% and reduces MaxDD by 13% compared to the 3-model ensemble without RL.</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Architecture Overview</w:t>
      </w:r>
      <w:bookmarkEnd w:id="100001"/>
    </w:p>
    <w:p>
      <w:pPr>
        <w:spacing w:after="160" w:line="312"/>
        <w:jc w:val="both"/>
      </w:pPr>
      <w:r>
        <w:rPr>
          <w:rFonts w:ascii="Liberation Serif" w:cs="Liberation Serif" w:eastAsia="Liberation Serif" w:hAnsi="Liberation Serif"/>
          <w:color w:val="14213D"/>
          <w:sz w:val="22"/>
          <w:szCs w:val="22"/>
        </w:rPr>
        <w:t xml:space="preserve">The HAIS is organized into four layers: model layer (4 parallel models), ensemble layer (weighted voting + confidence), monitoring layer (4 monitors enclosing all models), and integration layer (output to Strategy Coordinator). All 4 models run in parallel during inference, with the total p99 latency budget at 50ms (achieved: ~15ms).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HAIS architecture: 4 models, ensemble orchestrator, AISignal output, 4 monitors.</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Model Roles</w:t>
      </w:r>
      <w:bookmarkEnd w:id="100002"/>
    </w:p>
    <w:p>
      <w:pPr>
        <w:pStyle w:val="Heading3"/>
        <w:spacing w:after="120" w:before="240"/>
      </w:pPr>
      <w:bookmarkStart w:id="100003" w:name="_Toc100003"/>
      <w:r>
        <w:rPr>
          <w:rFonts w:ascii="Liberation Serif" w:cs="Liberation Serif" w:eastAsia="Liberation Serif" w:hAnsi="Liberation Serif"/>
          <w:b/>
          <w:bCs/>
          <w:color w:val="C8102E"/>
          <w:sz w:val="24"/>
          <w:szCs w:val="24"/>
        </w:rPr>
        <w:t xml:space="preserve">Model 1: XGBoost — Direction Prediction (weight: 0.35)</w:t>
      </w:r>
      <w:bookmarkEnd w:id="100003"/>
    </w:p>
    <w:p>
      <w:pPr>
        <w:spacing w:after="160" w:line="312"/>
        <w:jc w:val="both"/>
      </w:pPr>
      <w:r>
        <w:rPr>
          <w:rFonts w:ascii="Liberation Serif" w:cs="Liberation Serif" w:eastAsia="Liberation Serif" w:hAnsi="Liberation Serif"/>
          <w:color w:val="14213D"/>
          <w:sz w:val="22"/>
          <w:szCs w:val="22"/>
        </w:rPr>
        <w:t xml:space="preserve">XGBoost is the primary direction predictor. It takes the 8-dimensional feature vector and outputs P(UP) and P(DOWN) plus SHAP values for explainability. XGBoost is chosen for its speed (0.3ms inference), accuracy on tabular data, and built-in SHAP support. It is the "anchor" model with the highest weight (0.35) because it consistently achieves the highest F1 score on walk-forward validation. 500 trees, max_depth=6, learning_rate=0.05, early_stopping=50.</w:t>
      </w:r>
    </w:p>
    <w:p>
      <w:pPr>
        <w:pStyle w:val="Heading3"/>
        <w:spacing w:after="120" w:before="240"/>
      </w:pPr>
      <w:bookmarkStart w:id="100004" w:name="_Toc100004"/>
      <w:r>
        <w:rPr>
          <w:rFonts w:ascii="Liberation Serif" w:cs="Liberation Serif" w:eastAsia="Liberation Serif" w:hAnsi="Liberation Serif"/>
          <w:b/>
          <w:bCs/>
          <w:color w:val="C8102E"/>
          <w:sz w:val="24"/>
          <w:szCs w:val="24"/>
        </w:rPr>
        <w:t xml:space="preserve">Model 2: LSTM — Sequence Learning (weight: 0.25)</w:t>
      </w:r>
      <w:bookmarkEnd w:id="100004"/>
    </w:p>
    <w:p>
      <w:pPr>
        <w:spacing w:after="160" w:line="312"/>
        <w:jc w:val="both"/>
      </w:pPr>
      <w:r>
        <w:rPr>
          <w:rFonts w:ascii="Liberation Serif" w:cs="Liberation Serif" w:eastAsia="Liberation Serif" w:hAnsi="Liberation Serif"/>
          <w:color w:val="14213D"/>
          <w:sz w:val="22"/>
          <w:szCs w:val="22"/>
        </w:rPr>
        <w:t xml:space="preserve">LSTM captures temporal dependencies that XGBoost (which sees only the current bar) cannot. It takes a 60-bar x 8-feature sequence and outputs P(trend_continue) plus attention weights identifying which historical bars are most relevant. 2 LSTM layers, 128 hidden units, dropout=0.2, Adam optimizer. The LSTM confirms or contradicts XGBoost's direction prediction based on the temporal pattern.</w:t>
      </w:r>
    </w:p>
    <w:p>
      <w:pPr>
        <w:pStyle w:val="Heading3"/>
        <w:spacing w:after="120" w:before="240"/>
      </w:pPr>
      <w:bookmarkStart w:id="100005" w:name="_Toc100005"/>
      <w:r>
        <w:rPr>
          <w:rFonts w:ascii="Liberation Serif" w:cs="Liberation Serif" w:eastAsia="Liberation Serif" w:hAnsi="Liberation Serif"/>
          <w:b/>
          <w:bCs/>
          <w:color w:val="C8102E"/>
          <w:sz w:val="24"/>
          <w:szCs w:val="24"/>
        </w:rPr>
        <w:t xml:space="preserve">Model 3: Transformer — Context Analysis (weight: 0.25)</w:t>
      </w:r>
      <w:bookmarkEnd w:id="100005"/>
    </w:p>
    <w:p>
      <w:pPr>
        <w:spacing w:after="160" w:line="312"/>
        <w:jc w:val="both"/>
      </w:pPr>
      <w:r>
        <w:rPr>
          <w:rFonts w:ascii="Liberation Serif" w:cs="Liberation Serif" w:eastAsia="Liberation Serif" w:hAnsi="Liberation Serif"/>
          <w:color w:val="14213D"/>
          <w:sz w:val="22"/>
          <w:szCs w:val="22"/>
        </w:rPr>
        <w:t xml:space="preserve">Transformer provides long-range context analysis (120-bar window) that the LSTM's 60-bar window cannot capture. 4 attention heads, 2 encoder layers, d_model=64. The Transformer outputs a 32-dimensional context embedding plus a multi-head attention map. It captures parallel patterns (e.g., volatility regime + trend direction + session timing simultaneously).</w:t>
      </w:r>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Model 4: RL (PPO) — Trade Management (weight: 0.15)</w:t>
      </w:r>
      <w:bookmarkEnd w:id="100006"/>
    </w:p>
    <w:p>
      <w:pPr>
        <w:spacing w:after="160" w:line="312"/>
        <w:jc w:val="both"/>
      </w:pPr>
      <w:r>
        <w:rPr>
          <w:rFonts w:ascii="Liberation Serif" w:cs="Liberation Serif" w:eastAsia="Liberation Serif" w:hAnsi="Liberation Serif"/>
          <w:color w:val="14213D"/>
          <w:sz w:val="22"/>
          <w:szCs w:val="22"/>
        </w:rPr>
        <w:t xml:space="preserve">Reinforcement Learning (PPO) provides optimal trade management — not direction. The RL agent observes a 42-dimensional state (features + SHAP + position info + PnL + LSTM hidden state) and outputs one of 4 actions: HOLD, CLOSE, TRIM (25% partial), or ADD (25% pyramid). Reward is risk-adjusted Sharpe per episode. PPO, clip=0.2, gamma=0.99, 10k training episodes.</w:t>
      </w:r>
    </w:p>
    <w:p>
      <w:pPr>
        <w:pStyle w:val="Heading1"/>
        <w:pageBreakBefore/>
        <w:pBdr>
          <w:bottom w:val="single" w:color="C8102E" w:sz="18" w:space="4"/>
        </w:pBdr>
        <w:spacing w:after="240" w:before="480"/>
      </w:pPr>
      <w:bookmarkStart w:id="100007" w:name="_Toc100007"/>
      <w:r>
        <w:rPr>
          <w:rFonts w:ascii="Liberation Serif" w:cs="Liberation Serif" w:eastAsia="Liberation Serif" w:hAnsi="Liberation Serif"/>
          <w:b/>
          <w:bCs/>
          <w:color w:val="14213D"/>
          <w:sz w:val="40"/>
          <w:szCs w:val="40"/>
        </w:rPr>
        <w:t xml:space="preserve">Chapter 3 — Training Pipeline</w:t>
      </w:r>
      <w:bookmarkEnd w:id="100007"/>
    </w:p>
    <w:p>
      <w:pPr>
        <w:spacing w:after="160" w:line="312"/>
        <w:jc w:val="both"/>
      </w:pPr>
      <w:r>
        <w:rPr>
          <w:rFonts w:ascii="Liberation Serif" w:cs="Liberation Serif" w:eastAsia="Liberation Serif" w:hAnsi="Liberation Serif"/>
          <w:color w:val="14213D"/>
          <w:sz w:val="22"/>
          <w:szCs w:val="22"/>
        </w:rPr>
        <w:t xml:space="preserve">All 4 models are trained in parallel on 24 months of data across 6 brokers. Training uses walk-forward validation (5 folds x 4 months OOS). XGBoost, LSTM, and Transformer retrain weekly (Sunday 22:00 UTC); RL retrains monthly (1st Sunday). All models are versioned in MLflow with metrics, artifacts, and rollback capability.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Training pipeline: data prep, 4 parallel trainers, walk-forward validation, MLflow registry, deploy.</w:t>
      </w:r>
    </w:p>
    <w:p>
      <w:pPr>
        <w:pStyle w:val="Heading2"/>
        <w:spacing w:after="160" w:before="320"/>
      </w:pPr>
      <w:bookmarkStart w:id="100008" w:name="_Toc100008"/>
      <w:r>
        <w:rPr>
          <w:rFonts w:ascii="Liberation Serif" w:cs="Liberation Serif" w:eastAsia="Liberation Serif" w:hAnsi="Liberation Serif"/>
          <w:b/>
          <w:bCs/>
          <w:color w:val="14213D"/>
          <w:sz w:val="28"/>
          <w:szCs w:val="28"/>
        </w:rPr>
        <w:t xml:space="preserve">Training Data</w:t>
      </w:r>
      <w:bookmarkEnd w:id="100008"/>
    </w:p>
    <w:p>
      <w:pPr>
        <w:spacing w:after="160" w:line="312"/>
        <w:jc w:val="both"/>
      </w:pPr>
      <w:r>
        <w:rPr>
          <w:rFonts w:ascii="Liberation Serif" w:cs="Liberation Serif" w:eastAsia="Liberation Serif" w:hAnsi="Liberation Serif"/>
          <w:color w:val="14213D"/>
          <w:sz w:val="22"/>
          <w:szCs w:val="22"/>
        </w:rPr>
        <w:t xml:space="preserve">Training data is 24 months of XAUUSD market data across 6 brokers. Labels are constructed via forward returns: direction label (UP if forward 10-bar return &gt; 2xATR, DOWN if &lt; -2xATR), trend_continue label (binary), and RL reward (risk-adjusted Sharpe per episode). The 80/10/10 train/val/test split ensures sufficient validation data without sacrificing training volume.</w:t>
      </w:r>
    </w:p>
    <w:p>
      <w:pPr>
        <w:pStyle w:val="Heading1"/>
        <w:pageBreakBefore/>
        <w:pBdr>
          <w:bottom w:val="single" w:color="C8102E" w:sz="18" w:space="4"/>
        </w:pBdr>
        <w:spacing w:after="240" w:before="480"/>
      </w:pPr>
      <w:bookmarkStart w:id="100009" w:name="_Toc100009"/>
      <w:r>
        <w:rPr>
          <w:rFonts w:ascii="Liberation Serif" w:cs="Liberation Serif" w:eastAsia="Liberation Serif" w:hAnsi="Liberation Serif"/>
          <w:b/>
          <w:bCs/>
          <w:color w:val="14213D"/>
          <w:sz w:val="40"/>
          <w:szCs w:val="40"/>
        </w:rPr>
        <w:t xml:space="preserve">Chapter 4 — Inference Pipeline</w:t>
      </w:r>
      <w:bookmarkEnd w:id="100009"/>
    </w:p>
    <w:p>
      <w:pPr>
        <w:spacing w:after="160" w:line="312"/>
        <w:jc w:val="both"/>
      </w:pPr>
      <w:r>
        <w:rPr>
          <w:rFonts w:ascii="Liberation Serif" w:cs="Liberation Serif" w:eastAsia="Liberation Serif" w:hAnsi="Liberation Serif"/>
          <w:color w:val="14213D"/>
          <w:sz w:val="22"/>
          <w:szCs w:val="22"/>
        </w:rPr>
        <w:t xml:space="preserve">During live trading, all 4 models run in parallel on each bar close. XGBoost and RL run on CPU (ONNX export, sub-millisecond); LSTM and Transformer run on GPU (TorchScript, 5-8ms). The total p99 inference latency is ~15ms (budget: 50ms).</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Inference pipeline: 4 parallel inferences, ensemble, AISignal. Total p99: ~15ms.</w:t>
      </w:r>
    </w:p>
    <w:p>
      <w:pPr>
        <w:pStyle w:val="Heading2"/>
        <w:spacing w:after="160" w:before="320"/>
      </w:pPr>
      <w:bookmarkStart w:id="100010" w:name="_Toc100010"/>
      <w:r>
        <w:rPr>
          <w:rFonts w:ascii="Liberation Serif" w:cs="Liberation Serif" w:eastAsia="Liberation Serif" w:hAnsi="Liberation Serif"/>
          <w:b/>
          <w:bCs/>
          <w:color w:val="14213D"/>
          <w:sz w:val="28"/>
          <w:szCs w:val="28"/>
        </w:rPr>
        <w:t xml:space="preserve">Latency Budget</w:t>
      </w:r>
      <w:bookmarkEnd w:id="100010"/>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Model</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Runtime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p99 Latency</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Parallel?</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XGBoost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CPU · ONNX</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0.3 ms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LSTM</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GPU · TorchScript</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5.0 ms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Transformer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GPU · TorchScript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8.0 ms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RL (PPO)</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CPU · ONNX</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0.5 ms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TOTAL (parallel max)</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 ms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in parallel</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Ensemble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CPU</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 ms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Sequential</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END-TO-END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 ms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Budget: 50 ms</w:t>
            </w:r>
          </w:p>
        </w:tc>
      </w:tr>
    </w:tbl>
    <w:p>
      <w:pPr>
        <w:spacing w:after="200"/>
      </w:pPr>
    </w:p>
    <w:p>
      <w:pPr>
        <w:pStyle w:val="Heading1"/>
        <w:pageBreakBefore/>
        <w:pBdr>
          <w:bottom w:val="single" w:color="C8102E" w:sz="18" w:space="4"/>
        </w:pBdr>
        <w:spacing w:after="240" w:before="480"/>
      </w:pPr>
      <w:bookmarkStart w:id="100011" w:name="_Toc100011"/>
      <w:r>
        <w:rPr>
          <w:rFonts w:ascii="Liberation Serif" w:cs="Liberation Serif" w:eastAsia="Liberation Serif" w:hAnsi="Liberation Serif"/>
          <w:b/>
          <w:bCs/>
          <w:color w:val="14213D"/>
          <w:sz w:val="40"/>
          <w:szCs w:val="40"/>
        </w:rPr>
        <w:t xml:space="preserve">Chapter 5 — Ensemble Logic</w:t>
      </w:r>
      <w:bookmarkEnd w:id="100011"/>
    </w:p>
    <w:p>
      <w:pPr>
        <w:spacing w:after="160" w:line="312"/>
        <w:jc w:val="both"/>
      </w:pPr>
      <w:r>
        <w:rPr>
          <w:rFonts w:ascii="Liberation Serif" w:cs="Liberation Serif" w:eastAsia="Liberation Serif" w:hAnsi="Liberation Serif"/>
          <w:color w:val="14213D"/>
          <w:sz w:val="22"/>
          <w:szCs w:val="22"/>
        </w:rPr>
        <w:t xml:space="preserve">The ensemble combines 3 direction models (XGBoost, LSTM, Transformer) via weighted vote, with the RL model providing management actions separately. Confidence is derived from inter-model agreement: unanimous models produce high confidence; split models produce low confidence. Below 0.40, no trade is emitted.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Ensemble voting scenarios, confidence formula, RL action space.</w:t>
      </w:r>
    </w:p>
    <w:p>
      <w:pPr>
        <w:pStyle w:val="Heading2"/>
        <w:spacing w:after="160" w:before="320"/>
      </w:pPr>
      <w:bookmarkStart w:id="100012" w:name="_Toc100012"/>
      <w:r>
        <w:rPr>
          <w:rFonts w:ascii="Liberation Serif" w:cs="Liberation Serif" w:eastAsia="Liberation Serif" w:hAnsi="Liberation Serif"/>
          <w:b/>
          <w:bCs/>
          <w:color w:val="14213D"/>
          <w:sz w:val="28"/>
          <w:szCs w:val="28"/>
        </w:rPr>
        <w:t xml:space="preserve">Voting Formula</w:t>
      </w:r>
      <w:bookmarkEnd w:id="10001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direction_score = Sum(w_i * dir_i * conf_i)
  for i in {XGBoost (0.35), LSTM (0.25), Transformer (0.25)}
final_direction = sign(direction_score)
confidence = |direction_score| / Sum(w_i)
Confidence thresholds:
  &lt; 0.40 -&gt; NO TRADE (uncertain)
  0.40-0.65 -&gt; reduced position size (50%)
  &gt; 0.65 -&gt; full position size
RL action (applied AFTER direction decided):
  HOLD / CLOSE / TRIM / ADD (manages position, not direction)</w:t>
      </w:r>
    </w:p>
    <w:p>
      <w:pPr>
        <w:pStyle w:val="Heading2"/>
        <w:spacing w:after="160" w:before="320"/>
      </w:pPr>
      <w:bookmarkStart w:id="100013" w:name="_Toc100013"/>
      <w:r>
        <w:rPr>
          <w:rFonts w:ascii="Liberation Serif" w:cs="Liberation Serif" w:eastAsia="Liberation Serif" w:hAnsi="Liberation Serif"/>
          <w:b/>
          <w:bCs/>
          <w:color w:val="14213D"/>
          <w:sz w:val="28"/>
          <w:szCs w:val="28"/>
        </w:rPr>
        <w:t xml:space="preserve">Why 4 Models?</w:t>
      </w:r>
      <w:bookmarkEnd w:id="100013"/>
    </w:p>
    <w:p>
      <w:pPr>
        <w:spacing w:after="160" w:line="312"/>
        <w:jc w:val="both"/>
      </w:pPr>
      <w:r>
        <w:rPr>
          <w:rFonts w:ascii="Liberation Serif" w:cs="Liberation Serif" w:eastAsia="Liberation Serif" w:hAnsi="Liberation Serif"/>
          <w:color w:val="14213D"/>
          <w:sz w:val="22"/>
          <w:szCs w:val="22"/>
        </w:rPr>
        <w:t xml:space="preserve">Each model addresses a specific gap. XGBoost is fast and explainable but has no temporal awareness. LSTM captures sequences but misses long-range context. Transformer captures long-range context but is slow and data-hungry. RL provides optimal management but cannot predict direction. Together, they cover all bases. The ensemble Sharpe (2.28) is 33% higher than the best single model (XGBoost 1.72), confirming complementarity.</w:t>
      </w:r>
    </w:p>
    <w:p>
      <w:pPr>
        <w:pStyle w:val="Heading1"/>
        <w:pageBreakBefore/>
        <w:pBdr>
          <w:bottom w:val="single" w:color="C8102E" w:sz="18" w:space="4"/>
        </w:pBdr>
        <w:spacing w:after="240" w:before="480"/>
      </w:pPr>
      <w:bookmarkStart w:id="100014" w:name="_Toc100014"/>
      <w:r>
        <w:rPr>
          <w:rFonts w:ascii="Liberation Serif" w:cs="Liberation Serif" w:eastAsia="Liberation Serif" w:hAnsi="Liberation Serif"/>
          <w:b/>
          <w:bCs/>
          <w:color w:val="14213D"/>
          <w:sz w:val="40"/>
          <w:szCs w:val="40"/>
        </w:rPr>
        <w:t xml:space="preserve">Chapter 6 — Model Orchestration</w:t>
      </w:r>
      <w:bookmarkEnd w:id="100014"/>
    </w:p>
    <w:p>
      <w:pPr>
        <w:spacing w:after="160" w:line="312"/>
        <w:jc w:val="both"/>
      </w:pPr>
      <w:r>
        <w:rPr>
          <w:rFonts w:ascii="Liberation Serif" w:cs="Liberation Serif" w:eastAsia="Liberation Serif" w:hAnsi="Liberation Serif"/>
          <w:color w:val="14213D"/>
          <w:sz w:val="22"/>
          <w:szCs w:val="22"/>
        </w:rPr>
        <w:t xml:space="preserve">Model orchestration manages the full lifecycle: training, validation, registry, canary, A/B test, production. It includes auto-rollback (if canary Sharpe drops &gt; 10%), dynamic weight rebalancing (monthly), and failover (skip timed-out models, GPU-to-CPU fallback, ensemble halt if &lt; 2 direction models available).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Model lifecycle, weight rebalancing, and failover/degradation logic.</w:t>
      </w:r>
    </w:p>
    <w:p>
      <w:pPr>
        <w:pStyle w:val="Heading2"/>
        <w:spacing w:after="160" w:before="320"/>
      </w:pPr>
      <w:bookmarkStart w:id="100015" w:name="_Toc100015"/>
      <w:r>
        <w:rPr>
          <w:rFonts w:ascii="Liberation Serif" w:cs="Liberation Serif" w:eastAsia="Liberation Serif" w:hAnsi="Liberation Serif"/>
          <w:b/>
          <w:bCs/>
          <w:color w:val="14213D"/>
          <w:sz w:val="28"/>
          <w:szCs w:val="28"/>
        </w:rPr>
        <w:t xml:space="preserve">Dynamic Weight Rebalancing</w:t>
      </w:r>
      <w:bookmarkEnd w:id="100015"/>
    </w:p>
    <w:p>
      <w:pPr>
        <w:spacing w:after="160" w:line="312"/>
        <w:jc w:val="both"/>
      </w:pPr>
      <w:r>
        <w:rPr>
          <w:rFonts w:ascii="Liberation Serif" w:cs="Liberation Serif" w:eastAsia="Liberation Serif" w:hAnsi="Liberation Serif"/>
          <w:color w:val="14213D"/>
          <w:sz w:val="22"/>
          <w:szCs w:val="22"/>
        </w:rPr>
        <w:t xml:space="preserve">Weights are adjusted monthly based on rolling 100-trade per-model Sharpe. If a model's Sharpe exceeds the ensemble Sharpe x 1.2, its weight increases by 10% (cap: 0.50). If a model's Sharpe falls below ensemble x 0.8, its weight decreases by 10% (floor: 0.10).</w:t>
      </w:r>
    </w:p>
    <w:p>
      <w:pPr>
        <w:pStyle w:val="Heading2"/>
        <w:spacing w:after="160" w:before="320"/>
      </w:pPr>
      <w:bookmarkStart w:id="100016" w:name="_Toc100016"/>
      <w:r>
        <w:rPr>
          <w:rFonts w:ascii="Liberation Serif" w:cs="Liberation Serif" w:eastAsia="Liberation Serif" w:hAnsi="Liberation Serif"/>
          <w:b/>
          <w:bCs/>
          <w:color w:val="14213D"/>
          <w:sz w:val="28"/>
          <w:szCs w:val="28"/>
        </w:rPr>
        <w:t xml:space="preserve">Failover Scenarios</w:t>
      </w:r>
      <w:bookmarkEnd w:id="100016"/>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Model inference timeout (&gt;100ms): skip model, renormalize remaining. If &lt; 2 direction models: NO TRADE.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Performance degradation (F1 drop &gt; 15%): weight to 0.10 floor, emergency retrain. If 2+ models degraded: HALT.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GPU failure: CPU fallback (5x slower). If CPU p99 &gt; 50ms: XGBoost-only with reduced confidence.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Ensemble halt: 2+ models degraded OR &lt; 2 direction models. Fall back to rule-based strategies. Page operator P1.</w:t>
      </w:r>
    </w:p>
    <w:p>
      <w:pPr>
        <w:pStyle w:val="Heading1"/>
        <w:pageBreakBefore/>
        <w:pBdr>
          <w:bottom w:val="single" w:color="C8102E" w:sz="18" w:space="4"/>
        </w:pBdr>
        <w:spacing w:after="240" w:before="480"/>
      </w:pPr>
      <w:bookmarkStart w:id="100017" w:name="_Toc100017"/>
      <w:r>
        <w:rPr>
          <w:rFonts w:ascii="Liberation Serif" w:cs="Liberation Serif" w:eastAsia="Liberation Serif" w:hAnsi="Liberation Serif"/>
          <w:b/>
          <w:bCs/>
          <w:color w:val="14213D"/>
          <w:sz w:val="40"/>
          <w:szCs w:val="40"/>
        </w:rPr>
        <w:t xml:space="preserve">Chapter 7 — Monitoring Framework</w:t>
      </w:r>
      <w:bookmarkEnd w:id="100017"/>
    </w:p>
    <w:p>
      <w:pPr>
        <w:spacing w:after="160" w:line="312"/>
        <w:jc w:val="both"/>
      </w:pPr>
      <w:r>
        <w:rPr>
          <w:rFonts w:ascii="Liberation Serif" w:cs="Liberation Serif" w:eastAsia="Liberation Serif" w:hAnsi="Liberation Serif"/>
          <w:color w:val="14213D"/>
          <w:sz w:val="22"/>
          <w:szCs w:val="22"/>
        </w:rPr>
        <w:t xml:space="preserve">Four monitors run continuously: Drift Monitor (PSI + concept drift + data quality), Performance Monitor (per-model F1 + ensemble Sharpe + RL reward), Explainability Monitor (SHAP distribution + attention maps + RL action distribution), and Health Monitor (inference latency + GPU/CPU + model versions). All feed into unified alerting (P1 PagerDuty, P2 email, P3 log).</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4 monitors, alert routing, 12-panel Grafana dashboard.</w:t>
      </w:r>
    </w:p>
    <w:p>
      <w:pPr>
        <w:pStyle w:val="Heading2"/>
        <w:spacing w:after="160" w:before="320"/>
      </w:pPr>
      <w:bookmarkStart w:id="100018" w:name="_Toc100018"/>
      <w:r>
        <w:rPr>
          <w:rFonts w:ascii="Liberation Serif" w:cs="Liberation Serif" w:eastAsia="Liberation Serif" w:hAnsi="Liberation Serif"/>
          <w:b/>
          <w:bCs/>
          <w:color w:val="14213D"/>
          <w:sz w:val="28"/>
          <w:szCs w:val="28"/>
        </w:rPr>
        <w:t xml:space="preserve">Auto-Mitigation</w:t>
      </w:r>
      <w:bookmarkEnd w:id="100018"/>
    </w:p>
    <w:p>
      <w:pPr>
        <w:spacing w:after="160" w:line="312"/>
        <w:jc w:val="both"/>
      </w:pPr>
      <w:r>
        <w:rPr>
          <w:rFonts w:ascii="Liberation Serif" w:cs="Liberation Serif" w:eastAsia="Liberation Serif" w:hAnsi="Liberation Serif"/>
          <w:color w:val="14213D"/>
          <w:sz w:val="22"/>
          <w:szCs w:val="22"/>
        </w:rPr>
        <w:t xml:space="preserve">PSI &gt; 0.25 triggers auto-retrain; inference timeout skips the slow model; GPU failure triggers CPU fallback; performance degradation reduces weight to floor. These auto-actions ensure graceful degradation.</w:t>
      </w:r>
    </w:p>
    <w:p>
      <w:pPr>
        <w:pStyle w:val="Heading1"/>
        <w:pageBreakBefore/>
        <w:pBdr>
          <w:bottom w:val="single" w:color="C8102E" w:sz="18" w:space="4"/>
        </w:pBdr>
        <w:spacing w:after="240" w:before="480"/>
      </w:pPr>
      <w:bookmarkStart w:id="100019" w:name="_Toc100019"/>
      <w:r>
        <w:rPr>
          <w:rFonts w:ascii="Liberation Serif" w:cs="Liberation Serif" w:eastAsia="Liberation Serif" w:hAnsi="Liberation Serif"/>
          <w:b/>
          <w:bCs/>
          <w:color w:val="14213D"/>
          <w:sz w:val="40"/>
          <w:szCs w:val="40"/>
        </w:rPr>
        <w:t xml:space="preserve">Chapter 8 — Validation &amp; Backtest</w:t>
      </w:r>
      <w:bookmarkEnd w:id="100019"/>
    </w:p>
    <w:p>
      <w:pPr>
        <w:spacing w:after="160" w:line="312"/>
        <w:jc w:val="both"/>
      </w:pPr>
      <w:r>
        <w:rPr>
          <w:rFonts w:ascii="Liberation Serif" w:cs="Liberation Serif" w:eastAsia="Liberation Serif" w:hAnsi="Liberation Serif"/>
          <w:color w:val="14213D"/>
          <w:sz w:val="22"/>
          <w:szCs w:val="22"/>
        </w:rPr>
        <w:t xml:space="preserve">The ensemble (Sharpe 2.28) outperforms every individual model: XGBoost alone (1.72), LSTM alone (1.58), Transformer alone (1.65). The RL model adds 6% Sharpe and 13% MaxDD reduction vs the 3-model ensemble without RL. All CI gates pass.</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Per-model vs ensemble performance. Ensemble Sharpe +33% vs best single model.</w:t>
      </w:r>
    </w:p>
    <w:p>
      <w:pPr>
        <w:pStyle w:val="Heading2"/>
        <w:spacing w:after="160" w:before="320"/>
      </w:pPr>
      <w:bookmarkStart w:id="100020" w:name="_Toc100020"/>
      <w:r>
        <w:rPr>
          <w:rFonts w:ascii="Liberation Serif" w:cs="Liberation Serif" w:eastAsia="Liberation Serif" w:hAnsi="Liberation Serif"/>
          <w:b/>
          <w:bCs/>
          <w:color w:val="14213D"/>
          <w:sz w:val="28"/>
          <w:szCs w:val="28"/>
        </w:rPr>
        <w:t xml:space="preserve">Key Finding: Diversification Works</w:t>
      </w:r>
      <w:bookmarkEnd w:id="100020"/>
    </w:p>
    <w:p>
      <w:pPr>
        <w:spacing w:after="160" w:line="312"/>
        <w:jc w:val="both"/>
      </w:pPr>
      <w:r>
        <w:rPr>
          <w:rFonts w:ascii="Liberation Serif" w:cs="Liberation Serif" w:eastAsia="Liberation Serif" w:hAnsi="Liberation Serif"/>
          <w:color w:val="14213D"/>
          <w:sz w:val="22"/>
          <w:szCs w:val="22"/>
        </w:rPr>
        <w:t xml:space="preserve">The ensemble Sharpe (2.28) is higher than any individual model (max 1.72). This is the diversification benefit: the models make different errors at different times, so combining them reduces variance without reducing expected return. The MaxDD improvement (3.9% vs 5.8%) is even more significant — the ensemble never has the large drawdowns that individual models experience.</w:t>
      </w:r>
    </w:p>
    <w:p>
      <w:pPr>
        <w:pStyle w:val="Heading1"/>
        <w:pageBreakBefore/>
        <w:pBdr>
          <w:bottom w:val="single" w:color="C8102E" w:sz="18" w:space="4"/>
        </w:pBdr>
        <w:spacing w:after="240" w:before="480"/>
      </w:pPr>
      <w:bookmarkStart w:id="100021" w:name="_Toc100021"/>
      <w:r>
        <w:rPr>
          <w:rFonts w:ascii="Liberation Serif" w:cs="Liberation Serif" w:eastAsia="Liberation Serif" w:hAnsi="Liberation Serif"/>
          <w:b/>
          <w:bCs/>
          <w:color w:val="14213D"/>
          <w:sz w:val="40"/>
          <w:szCs w:val="40"/>
        </w:rPr>
        <w:t xml:space="preserve">Chapter 9 — Model Details</w:t>
      </w:r>
      <w:bookmarkEnd w:id="100021"/>
    </w:p>
    <w:p>
      <w:pPr>
        <w:spacing w:after="160" w:line="312"/>
        <w:jc w:val="both"/>
      </w:pPr>
      <w:r>
        <w:rPr>
          <w:rFonts w:ascii="Liberation Serif" w:cs="Liberation Serif" w:eastAsia="Liberation Serif" w:hAnsi="Liberation Serif"/>
          <w:color w:val="14213D"/>
          <w:sz w:val="22"/>
          <w:szCs w:val="22"/>
        </w:rPr>
        <w:t xml:space="preserve">Complete specification for all 4 models: architecture, hyperparameters, input/output, training data, optimizer, regularization, inference runtime, and explainability method.</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Complete model comparison table with architecture, strengths, and weaknesses.</w:t>
      </w:r>
    </w:p>
    <w:p>
      <w:pPr>
        <w:pStyle w:val="Heading1"/>
        <w:pageBreakBefore/>
        <w:pBdr>
          <w:bottom w:val="single" w:color="C8102E" w:sz="18" w:space="4"/>
        </w:pBdr>
        <w:spacing w:after="240" w:before="480"/>
      </w:pPr>
      <w:bookmarkStart w:id="100022" w:name="_Toc100022"/>
      <w:r>
        <w:rPr>
          <w:rFonts w:ascii="Liberation Serif" w:cs="Liberation Serif" w:eastAsia="Liberation Serif" w:hAnsi="Liberation Serif"/>
          <w:b/>
          <w:bCs/>
          <w:color w:val="14213D"/>
          <w:sz w:val="40"/>
          <w:szCs w:val="40"/>
        </w:rPr>
        <w:t xml:space="preserve">Chapter 10 — Integration with TITAN Core</w:t>
      </w:r>
      <w:bookmarkEnd w:id="100022"/>
    </w:p>
    <w:p>
      <w:pPr>
        <w:spacing w:after="160" w:line="312"/>
        <w:jc w:val="both"/>
      </w:pPr>
      <w:r>
        <w:rPr>
          <w:rFonts w:ascii="Liberation Serif" w:cs="Liberation Serif" w:eastAsia="Liberation Serif" w:hAnsi="Liberation Serif"/>
          <w:color w:val="14213D"/>
          <w:sz w:val="22"/>
          <w:szCs w:val="22"/>
        </w:rPr>
        <w:t xml:space="preserve">The HAIS integrates with the Strategy Coordinator as a signal source. The AISignal (direction + confidence + RL action + explainability) is emitted on the ZMQ bus. The Strategy Coordinator gates it through the ARDS regime detector before dispatching to the appropriate strategy (trend or mean reversion). The RL management actions are applied to open positions via the Execution Engine.</w:t>
      </w:r>
    </w:p>
    <w:p>
      <w:pPr>
        <w:pStyle w:val="Heading2"/>
        <w:spacing w:after="160" w:before="320"/>
      </w:pPr>
      <w:bookmarkStart w:id="100023" w:name="_Toc100023"/>
      <w:r>
        <w:rPr>
          <w:rFonts w:ascii="Liberation Serif" w:cs="Liberation Serif" w:eastAsia="Liberation Serif" w:hAnsi="Liberation Serif"/>
          <w:b/>
          <w:bCs/>
          <w:color w:val="14213D"/>
          <w:sz w:val="28"/>
          <w:szCs w:val="28"/>
        </w:rPr>
        <w:t xml:space="preserve">Signal Flow</w:t>
      </w:r>
      <w:bookmarkEnd w:id="10002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HAIS inference (4 models parallel, ~15ms)
  -&gt; Ensemble vote (direction + confidence + RL action)
    -&gt; ZMQ PUB: ai.signal
      -&gt; Strategy Coordinator
        -&gt; Regime gate (ARDS)
          -&gt; If TREND: dispatch to Trend Strategy (Module 5)
          -&gt; If RANGE: dispatch to Mean Reversion (Module 6)
          -&gt; If VOLATILE/NEWS: hold, no new entries
        -&gt; RL action applied to open positions via Execution Engine
      -&gt; Operator Console (real-time display)</w:t>
      </w:r>
    </w:p>
    <w:p>
      <w:pPr>
        <w:pStyle w:val="Heading1"/>
        <w:pageBreakBefore/>
        <w:pBdr>
          <w:bottom w:val="single" w:color="C8102E" w:sz="18" w:space="4"/>
        </w:pBdr>
        <w:spacing w:after="240" w:before="480"/>
      </w:pPr>
      <w:bookmarkStart w:id="100024" w:name="_Toc100024"/>
      <w:r>
        <w:rPr>
          <w:rFonts w:ascii="Liberation Serif" w:cs="Liberation Serif" w:eastAsia="Liberation Serif" w:hAnsi="Liberation Serif"/>
          <w:b/>
          <w:bCs/>
          <w:color w:val="14213D"/>
          <w:sz w:val="40"/>
          <w:szCs w:val="40"/>
        </w:rPr>
        <w:t xml:space="preserve">Appendix A — Sample AISignal Output</w:t>
      </w:r>
      <w:bookmarkEnd w:id="100024"/>
    </w:p>
    <w:p>
      <w:pPr>
        <w:spacing w:after="160" w:line="312"/>
        <w:jc w:val="both"/>
      </w:pPr>
      <w:r>
        <w:rPr>
          <w:rFonts w:ascii="Liberation Serif" w:cs="Liberation Serif" w:eastAsia="Liberation Serif" w:hAnsi="Liberation Serif"/>
          <w:color w:val="14213D"/>
          <w:sz w:val="22"/>
          <w:szCs w:val="22"/>
        </w:rPr>
        <w:t xml:space="preserve">High-confidence UP signal with all 3 direction models agreeing and RL recommending HOLD.</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"signal_id": "AISIG-2026-06-19-001",
  "timestamp": 1718798400000000000,
  "symbol": "XAUUSD",
  "direction": "UP",
  "confidence": 0.82,
  "probability": { "UP": 0.82, "DOWN": 0.18 },
  "explainability": 0.78,
  "model_votes": {
    "xgboost":      { "direction": "UP",   "prob": 0.85, "weight": 0.35, "shap_top3": ["ADX", "EMA_slope", "Hurst"] },
    "lstm":         { "direction": "UP",   "prob": 0.78, "weight": 0.25, "attention_peak": "bar_-15" },
    "transformer":  { "direction": "UP",   "prob": 0.80, "weight": 0.25, "context_regime": "TREND" },
    "rl":           { "action": "HOLD",    "q_value": 0.65, "weight": 0.15 }
  },
  "rl_action": "HOLD",
  "rl_q_value": 0.65,
  "top3_features": [
    { "name": "ADX",        "shap": +1.85 },
    { "name": "EMA_slope",  "shap": +1.20 },
    { "name": "Hurst",      "shap": +0.75 }
  ],
  "ensemble_summary": {
    "direction_score": "+0.68 (weighted sum)",
    "agreement": "3/3 unanimous (UP)",
    "confidence_tier": "FULL (conf &gt; 0.65)",
    "position_size_mult": 1.0
  }
}</w:t>
      </w:r>
    </w:p>
    <w:p>
      <w:pPr>
        <w:spacing w:after="160" w:line="312"/>
        <w:jc w:val="both"/>
      </w:pPr>
      <w:r>
        <w:rPr>
          <w:rFonts w:ascii="Liberation Serif" w:cs="Liberation Serif" w:eastAsia="Liberation Serif" w:hAnsi="Liberation Serif"/>
          <w:color w:val="14213D"/>
          <w:sz w:val="22"/>
          <w:szCs w:val="22"/>
        </w:rPr>
        <w:t xml:space="preserve">This signal shows a high-confidence UP prediction with unanimous agreement across all 3 direction models. The RL model recommends HOLD (maintain any open position). The confidence of 0.82 triggers full position sizing. The top-3 SHAP features (ADX, EMA_slope, Hurst) explain 78% of the prediction, providing operator-trustable explainability.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Hybrid AI Stack</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91e47a666458883f3c524de2e6056dcd0a3a911.png"/><Relationship Id="rId11" Type="http://schemas.openxmlformats.org/officeDocument/2006/relationships/image" Target="media/fabe514fdb7f6251b0a2ef48fe5a2d0ab8c1cb36.png"/><Relationship Id="rId12" Type="http://schemas.openxmlformats.org/officeDocument/2006/relationships/image" Target="media/1112707e8aa39531e2a56e5ebfa8e7baecbbf7ff.png"/><Relationship Id="rId13" Type="http://schemas.openxmlformats.org/officeDocument/2006/relationships/image" Target="media/96e40bbcd2f2959bee87fdb9a11ec0d105c46690.png"/><Relationship Id="rId14" Type="http://schemas.openxmlformats.org/officeDocument/2006/relationships/image" Target="media/42bbf843da372d5eecd859aa07f0f0071e63a3ba.png"/><Relationship Id="rId15" Type="http://schemas.openxmlformats.org/officeDocument/2006/relationships/image" Target="media/5ad62a85481fa22c0b0eedc8ea909d3f8a5686b0.png"/><Relationship Id="rId16" Type="http://schemas.openxmlformats.org/officeDocument/2006/relationships/image" Target="media/d9033962daeab2eb997f538dd89f5d7af49750fe.png"/><Relationship Id="rId17" Type="http://schemas.openxmlformats.org/officeDocument/2006/relationships/image" Target="media/c9be08223c454a64a85b3c6f1b140a18c3961cd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Hybrid AI Stack</dc:title>
  <dc:subject>Hybrid AI architecture</dc:subject>
  <dc:creator>TITAN Quant Research</dc:creator>
  <dc:description>Hybrid AI Stack: 4-model ensemble for XAUUSD</dc:description>
  <cp:lastModifiedBy>Un-named</cp:lastModifiedBy>
  <cp:revision>1</cp:revision>
  <dcterms:created xsi:type="dcterms:W3CDTF">2026-06-19T08:16:53.602Z</dcterms:created>
  <dcterms:modified xsi:type="dcterms:W3CDTF">2026-06-19T08:16:53.603Z</dcterms:modified>
</cp:coreProperties>
</file>

<file path=docProps/custom.xml><?xml version="1.0" encoding="utf-8"?>
<Properties xmlns="http://schemas.openxmlformats.org/officeDocument/2006/custom-properties" xmlns:vt="http://schemas.openxmlformats.org/officeDocument/2006/docPropsVTypes"/>
</file>