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left"/>
      </w:pPr>
      <w:r>
        <w:rPr>
          <w:rFonts w:ascii="JetBrains Mono" w:cs="JetBrains Mono" w:eastAsia="JetBrains Mono" w:hAnsi="JetBrains Mono"/>
          <w:b/>
          <w:bCs/>
          <w:color w:val="C8102E"/>
          <w:sz w:val="18"/>
          <w:szCs w:val="18"/>
        </w:rPr>
        <w:t xml:space="preserve">TITAN  ·  QUANT  RESEARCH</w:t>
      </w:r>
    </w:p>
    <w:p>
      <w:pPr>
        <w:spacing w:after="80"/>
      </w:pPr>
      <w:r>
        <w:rPr>
          <w:rFonts w:ascii="Liberation Serif" w:cs="Liberation Serif" w:eastAsia="Liberation Serif" w:hAnsi="Liberation Serif"/>
          <w:b/>
          <w:bCs/>
          <w:color w:val="14213D"/>
          <w:sz w:val="56"/>
          <w:szCs w:val="56"/>
        </w:rPr>
        <w:t xml:space="preserve">TITAN XAU AI</w:t>
      </w:r>
    </w:p>
    <w:p>
      <w:pPr>
        <w:pBdr>
          <w:bottom w:val="single" w:color="14213D" w:sz="18" w:space="4"/>
        </w:pBdr>
        <w:spacing w:after="720"/>
      </w:pPr>
      <w:r>
        <w:rPr>
          <w:rFonts w:ascii="JetBrains Mono" w:cs="JetBrains Mono" w:eastAsia="JetBrains Mono" w:hAnsi="JetBrains Mono"/>
          <w:color w:val="4A5568"/>
          <w:sz w:val="18"/>
          <w:szCs w:val="18"/>
        </w:rPr>
        <w:t xml:space="preserve">INSTITUTIONAL  TRADING  SYSTEMS</w:t>
      </w:r>
    </w:p>
    <w:p>
      <w:pPr>
        <w:spacing w:after="360" w:before="720"/>
      </w:pPr>
      <w:r>
        <w:rPr>
          <w:rFonts w:ascii="JetBrains Mono" w:cs="JetBrains Mono" w:eastAsia="JetBrains Mono" w:hAnsi="JetBrains Mono"/>
          <w:b/>
          <w:bCs/>
          <w:color w:val="C8102E"/>
          <w:sz w:val="20"/>
          <w:szCs w:val="20"/>
        </w:rPr>
        <w:t xml:space="preserve">S U B S Y S T E M   A R C H I T E C T U R E</w:t>
      </w:r>
    </w:p>
    <w:p>
      <w:pPr>
        <w:spacing w:after="360" w:line="240"/>
      </w:pPr>
      <w:r>
        <w:rPr>
          <w:rFonts w:ascii="Liberation Serif" w:cs="Liberation Serif" w:eastAsia="Liberation Serif" w:hAnsi="Liberation Serif"/>
          <w:b/>
          <w:bCs/>
          <w:color w:val="14213D"/>
          <w:sz w:val="72"/>
          <w:szCs w:val="72"/>
        </w:rPr>
        <w:t xml:space="preserve">Institutional</w:t>
      </w:r>
      <w:r>
        <w:rPr>
          <w:rFonts w:ascii="Liberation Serif" w:cs="Liberation Serif" w:eastAsia="Liberation Serif" w:hAnsi="Liberation Serif"/>
          <w:b/>
          <w:bCs/>
          <w:color w:val="C8102E"/>
          <w:sz w:val="72"/>
          <w:szCs w:val="72"/>
        </w:rPr>
        <w:t xml:space="preserve"> Execution</w:t>
      </w:r>
      <w:r>
        <w:rPr>
          <w:rFonts w:ascii="Liberation Serif" w:cs="Liberation Serif" w:eastAsia="Liberation Serif" w:hAnsi="Liberation Serif"/>
          <w:b/>
          <w:bCs/>
          <w:color w:val="14213D"/>
          <w:sz w:val="72"/>
          <w:szCs w:val="72"/>
        </w:rPr>
        <w:t xml:space="preserve"> Engine</w:t>
      </w:r>
    </w:p>
    <w:p>
      <w:pPr>
        <w:spacing w:after="720" w:line="360"/>
      </w:pPr>
      <w:r>
        <w:rPr>
          <w:rFonts w:ascii="Liberation Serif" w:cs="Liberation Serif" w:eastAsia="Liberation Serif" w:hAnsi="Liberation Serif"/>
          <w:i/>
          <w:iCs/>
          <w:color w:val="4A5568"/>
          <w:sz w:val="24"/>
          <w:szCs w:val="24"/>
        </w:rPr>
        <w:t xml:space="preserve">Ultra-low-latency order execution for XAUUSD. Async event-driven, tick-based, CPU-pinned hot path. Slippage monitoring, execution quality scoring, retry, partial fills, rejection handling.</w:t>
      </w:r>
    </w:p>
    <w:p>
      <w:pPr>
        <w:pBdr>
          <w:top w:val="single" w:color="14213D" w:sz="12" w:space="4"/>
        </w:pBdr>
        <w:spacing w:after="120" w:before="240"/>
      </w:pPr>
      <w:r>
        <w:rPr>
          <w:rFonts w:ascii="JetBrains Mono" w:cs="JetBrains Mono" w:eastAsia="JetBrains Mono" w:hAnsi="JetBrains Mono"/>
          <w:b/>
          <w:bCs/>
          <w:color w:val="C8102E"/>
          <w:sz w:val="16"/>
          <w:szCs w:val="16"/>
        </w:rPr>
        <w:t xml:space="preserve">TARGET</w:t>
      </w:r>
    </w:p>
    <w:tbl>
      <w:tblPr>
        <w:tblW w:type="dxa" w:w="9000"/>
        <w:tblBorders>
          <w:top w:val="single" w:color="14213D" w:sz="6"/>
          <w:left w:val="single" w:color="CBD5E1" w:sz="4"/>
          <w:bottom w:val="single" w:color="14213D" w:sz="6"/>
          <w:right w:val="single" w:color="CBD5E1" w:sz="4"/>
          <w:insideH w:val="single" w:color="CBD5E1" w:sz="4"/>
          <w:insideV w:val="single" w:color="CBD5E1" w:sz="4"/>
        </w:tblBorders>
      </w:tblPr>
      <w:tblGrid>
        <w:gridCol w:w="100"/>
        <w:gridCol w:w="100"/>
        <w:gridCol w:w="100"/>
      </w:tblGrid>
      <w:tr>
        <w:trPr>
          <w:cantSplit/>
          <w:tblHeader/>
        </w:trPr>
        <w:tc>
          <w:tcPr>
            <w:tcW w:type="dxa" w:w="270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Metric</w:t>
            </w:r>
          </w:p>
        </w:tc>
        <w:tc>
          <w:tcPr>
            <w:tcW w:type="dxa" w:w="135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Value</w:t>
            </w:r>
          </w:p>
        </w:tc>
        <w:tc>
          <w:tcPr>
            <w:tcW w:type="dxa" w:w="495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Description</w:t>
            </w:r>
          </w:p>
        </w:tc>
      </w:tr>
      <w:tr>
        <w:trPr>
          <w:cantSplit/>
        </w:trPr>
        <w:tc>
          <w:tcPr>
            <w:tcW w:type="dxa" w:w="27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Internal p99 latency</w:t>
            </w:r>
          </w:p>
        </w:tc>
        <w:tc>
          <w:tcPr>
            <w:tcW w:type="dxa" w:w="135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2.0 ms</w:t>
            </w:r>
          </w:p>
        </w:tc>
        <w:tc>
          <w:tcPr>
            <w:tcW w:type="dxa" w:w="495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Signal-to-fill (excludes broker RTT)</w:t>
            </w:r>
          </w:p>
        </w:tc>
      </w:tr>
      <w:tr>
        <w:trPr>
          <w:cantSplit/>
        </w:trPr>
        <w:tc>
          <w:tcPr>
            <w:tcW w:type="dxa" w:w="27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Tick throughput</w:t>
            </w:r>
          </w:p>
        </w:tc>
        <w:tc>
          <w:tcPr>
            <w:tcW w:type="dxa" w:w="135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50,000/s</w:t>
            </w:r>
          </w:p>
        </w:tc>
        <w:tc>
          <w:tcPr>
            <w:tcW w:type="dxa" w:w="495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Sustained for 1 hour, 100k/s burst</w:t>
            </w:r>
          </w:p>
        </w:tc>
      </w:tr>
      <w:tr>
        <w:trPr>
          <w:cantSplit/>
        </w:trPr>
        <w:tc>
          <w:tcPr>
            <w:tcW w:type="dxa" w:w="27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RAM ceiling</w:t>
            </w:r>
          </w:p>
        </w:tc>
        <w:tc>
          <w:tcPr>
            <w:tcW w:type="dxa" w:w="135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256 MB</w:t>
            </w:r>
          </w:p>
        </w:tc>
        <w:tc>
          <w:tcPr>
            <w:tcW w:type="dxa" w:w="495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Per-process resident set</w:t>
            </w:r>
          </w:p>
        </w:tc>
      </w:tr>
      <w:tr>
        <w:trPr>
          <w:cantSplit/>
        </w:trPr>
        <w:tc>
          <w:tcPr>
            <w:tcW w:type="dxa" w:w="27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Heap allocations per order</w:t>
            </w:r>
          </w:p>
        </w:tc>
        <w:tc>
          <w:tcPr>
            <w:tcW w:type="dxa" w:w="135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w:t>
            </w:r>
          </w:p>
        </w:tc>
        <w:tc>
          <w:tcPr>
            <w:tcW w:type="dxa" w:w="495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Pre-allocated pool on hot path</w:t>
            </w:r>
          </w:p>
        </w:tc>
      </w:tr>
      <w:tr>
        <w:trPr>
          <w:cantSplit/>
        </w:trPr>
        <w:tc>
          <w:tcPr>
            <w:tcW w:type="dxa" w:w="27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EQS factors</w:t>
            </w:r>
          </w:p>
        </w:tc>
        <w:tc>
          <w:tcPr>
            <w:tcW w:type="dxa" w:w="135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7</w:t>
            </w:r>
          </w:p>
        </w:tc>
        <w:tc>
          <w:tcPr>
            <w:tcW w:type="dxa" w:w="495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Weighted execution quality score 0–100</w:t>
            </w:r>
          </w:p>
        </w:tc>
      </w:tr>
      <w:tr>
        <w:trPr>
          <w:cantSplit/>
        </w:trPr>
        <w:tc>
          <w:tcPr>
            <w:tcW w:type="dxa" w:w="27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MT5 reject codes supported</w:t>
            </w:r>
          </w:p>
        </w:tc>
        <w:tc>
          <w:tcPr>
            <w:tcW w:type="dxa" w:w="135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12</w:t>
            </w:r>
          </w:p>
        </w:tc>
        <w:tc>
          <w:tcPr>
            <w:tcW w:type="dxa" w:w="495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Mapped to retry/soft/fatal</w:t>
            </w:r>
          </w:p>
        </w:tc>
      </w:tr>
    </w:tbl>
    <w:p>
      <w:pPr>
        <w:spacing w:after="360"/>
      </w:pPr>
    </w:p>
    <w:p>
      <w:pPr>
        <w:spacing w:after="40"/>
      </w:pPr>
      <w:r>
        <w:rPr>
          <w:rFonts w:ascii="JetBrains Mono" w:cs="JetBrains Mono" w:eastAsia="JetBrains Mono" w:hAnsi="JetBrains Mono"/>
          <w:color w:val="4A5568"/>
          <w:sz w:val="18"/>
          <w:szCs w:val="18"/>
        </w:rPr>
        <w:t xml:space="preserve">Prepared by  </w:t>
      </w:r>
      <w:r>
        <w:rPr>
          <w:rFonts w:ascii="JetBrains Mono" w:cs="JetBrains Mono" w:eastAsia="JetBrains Mono" w:hAnsi="JetBrains Mono"/>
          <w:b/>
          <w:bCs/>
          <w:color w:val="14213D"/>
          <w:sz w:val="18"/>
          <w:szCs w:val="18"/>
        </w:rPr>
        <w:t xml:space="preserve">TITAN Quant Research</w:t>
      </w:r>
    </w:p>
    <w:p>
      <w:pPr>
        <w:spacing w:after="40"/>
      </w:pPr>
      <w:r>
        <w:rPr>
          <w:rFonts w:ascii="JetBrains Mono" w:cs="JetBrains Mono" w:eastAsia="JetBrains Mono" w:hAnsi="JetBrains Mono"/>
          <w:color w:val="4A5568"/>
          <w:sz w:val="18"/>
          <w:szCs w:val="18"/>
        </w:rPr>
        <w:t xml:space="preserve">Reviewed by  </w:t>
      </w:r>
      <w:r>
        <w:rPr>
          <w:rFonts w:ascii="JetBrains Mono" w:cs="JetBrains Mono" w:eastAsia="JetBrains Mono" w:hAnsi="JetBrains Mono"/>
          <w:b/>
          <w:bCs/>
          <w:color w:val="14213D"/>
          <w:sz w:val="18"/>
          <w:szCs w:val="18"/>
        </w:rPr>
        <w:t xml:space="preserve">CTO · Lead Engineer · Risk Officer</w:t>
      </w:r>
    </w:p>
    <w:p>
      <w:pPr>
        <w:spacing w:after="40"/>
      </w:pPr>
      <w:r>
        <w:rPr>
          <w:rFonts w:ascii="JetBrains Mono" w:cs="JetBrains Mono" w:eastAsia="JetBrains Mono" w:hAnsi="JetBrains Mono"/>
          <w:color w:val="4A5568"/>
          <w:sz w:val="18"/>
          <w:szCs w:val="18"/>
        </w:rPr>
        <w:t xml:space="preserve">Classification  </w:t>
      </w:r>
      <w:r>
        <w:rPr>
          <w:rFonts w:ascii="JetBrains Mono" w:cs="JetBrains Mono" w:eastAsia="JetBrains Mono" w:hAnsi="JetBrains Mono"/>
          <w:b/>
          <w:bCs/>
          <w:color w:val="C8102E"/>
          <w:sz w:val="18"/>
          <w:szCs w:val="18"/>
        </w:rPr>
        <w:t xml:space="preserve">INTERNAL — ENGINEERING</w:t>
      </w:r>
    </w:p>
    <w:p>
      <w:pPr>
        <w:pBdr>
          <w:top w:val="single" w:color="14213D" w:sz="6" w:space="4"/>
        </w:pBdr>
        <w:spacing w:after="0"/>
      </w:pPr>
      <w:r>
        <w:rPr>
          <w:rFonts w:ascii="JetBrains Mono" w:cs="JetBrains Mono" w:eastAsia="JetBrains Mono" w:hAnsi="JetBrains Mono"/>
          <w:color w:val="4A5568"/>
          <w:sz w:val="18"/>
          <w:szCs w:val="18"/>
        </w:rPr>
        <w:t xml:space="preserve">Version  </w:t>
      </w:r>
      <w:r>
        <w:rPr>
          <w:rFonts w:ascii="JetBrains Mono" w:cs="JetBrains Mono" w:eastAsia="JetBrains Mono" w:hAnsi="JetBrains Mono"/>
          <w:b/>
          <w:bCs/>
          <w:color w:val="14213D"/>
          <w:sz w:val="18"/>
          <w:szCs w:val="18"/>
        </w:rPr>
        <w:t xml:space="preserve">v1.0  ·  19 June 2026</w:t>
      </w:r>
    </w:p>
    <w:p>
      <w:r>
        <w:br w:type="page"/>
      </w:r>
    </w:p>
    <w:p>
      <w:pPr>
        <w:sectPr>
          <w:pgSz w:w="11906" w:h="16838" w:orient="portrait"/>
          <w:pgMar w:top="1440" w:right="1440" w:bottom="1440" w:left="1440" w:header="708" w:footer="708" w:gutter="0"/>
          <w:pgNumType/>
          <w:docGrid w:linePitch="360"/>
        </w:sectPr>
      </w:pPr>
    </w:p>
    <w:p>
      <w:pPr>
        <w:pBdr>
          <w:bottom w:val="single" w:color="C8102E" w:sz="18" w:space="4"/>
        </w:pBdr>
        <w:spacing w:after="240"/>
      </w:pPr>
      <w:r>
        <w:rPr>
          <w:rFonts w:ascii="Liberation Serif" w:cs="Liberation Serif" w:eastAsia="Liberation Serif" w:hAnsi="Liberation Serif"/>
          <w:b/>
          <w:bCs/>
          <w:color w:val="14213D"/>
          <w:sz w:val="44"/>
          <w:szCs w:val="44"/>
        </w:rPr>
        <w:t xml:space="preserve">Table of Contents</w:t>
      </w:r>
    </w:p>
    <w:p>
      <w:pPr>
        <w:spacing w:after="280"/>
      </w:pPr>
      <w:r>
        <w:rPr>
          <w:rFonts w:ascii="Liberation Serif" w:cs="Liberation Serif" w:eastAsia="Liberation Serif" w:hAnsi="Liberation Serif"/>
          <w:i/>
          <w:iCs/>
          <w:color w:val="4A5568"/>
          <w:sz w:val="18"/>
          <w:szCs w:val="18"/>
        </w:rPr>
        <w:t xml:space="preserve">Right-click the table below and choose "Update Field" to refresh page numbers.</w:t>
      </w:r>
    </w:p>
    <w:sdt>
      <w:sdtPr>
        <w:alias w:val="Table of Contents"/>
      </w:sdtPr>
      <w:sdtContent>
        <w:p>
          <w:r>
            <w:fldChar w:fldCharType="begin" w:dirty="true"/>
          </w:r>
          <w:r>
            <w:instrText xml:space="preserve">TOC \h \o "1-3" </w:instrText>
          </w:r>
          <w:r>
            <w:fldChar w:fldCharType="separate"/>
          </w:r>
        </w:p>
        <w:p>
          <w:pPr>
            <w:pStyle w:val="9"/>
            <w:tabs>
              <w:tab w:val="right" w:leader="dot" w:pos="9026"/>
            </w:tabs>
            <w:spacing w:before="120" w:after="60"/>
          </w:pPr>
          <w:hyperlink w:anchor="_Toc100000" w:history="1">
            <w:r>
              <w:rPr>
                <w:rStyle w:val="Hyperlink"/>
              </w:rPr>
              <w:t>Chapter 1 — Executive Summary</w:t>
            </w:r>
            <w:r>
              <w:tab/>
            </w:r>
            <w:r>
              <w:fldChar w:fldCharType="begin"/>
            </w:r>
            <w:r>
              <w:instrText xml:space="preserve"> PAGEREF _Toc100000 \h </w:instrText>
            </w:r>
            <w:r>
              <w:fldChar w:fldCharType="separate"/>
            </w:r>
            <w:r>
              <w:t>3</w:t>
            </w:r>
            <w:r>
              <w:fldChar w:fldCharType="end"/>
            </w:r>
          </w:hyperlink>
        </w:p>
        <w:p>
          <w:pPr>
            <w:pStyle w:val="9"/>
            <w:tabs>
              <w:tab w:val="right" w:leader="dot" w:pos="9026"/>
            </w:tabs>
            <w:spacing w:before="120" w:after="60"/>
          </w:pPr>
          <w:hyperlink w:anchor="_Toc100001" w:history="1">
            <w:r>
              <w:rPr>
                <w:rStyle w:val="Hyperlink"/>
              </w:rPr>
              <w:t>Chapter 2 — Design Principles</w:t>
            </w:r>
            <w:r>
              <w:tab/>
            </w:r>
            <w:r>
              <w:fldChar w:fldCharType="begin"/>
            </w:r>
            <w:r>
              <w:instrText xml:space="preserve"> PAGEREF _Toc100001 \h </w:instrText>
            </w:r>
            <w:r>
              <w:fldChar w:fldCharType="separate"/>
            </w:r>
            <w:r>
              <w:t>4</w:t>
            </w:r>
            <w:r>
              <w:fldChar w:fldCharType="end"/>
            </w:r>
          </w:hyperlink>
        </w:p>
        <w:p>
          <w:pPr>
            <w:pStyle w:val="11"/>
            <w:ind w:left="360"/>
            <w:tabs>
              <w:tab w:val="right" w:leader="dot" w:pos="9026"/>
            </w:tabs>
            <w:spacing w:before="120" w:after="60"/>
          </w:pPr>
          <w:hyperlink w:anchor="_Toc100002" w:history="1">
            <w:r>
              <w:rPr>
                <w:rStyle w:val="Hyperlink"/>
              </w:rPr>
              <w:t>Principle 1 — Ultra-Low Latency Is a Feature, Not a Target</w:t>
            </w:r>
            <w:r>
              <w:tab/>
            </w:r>
            <w:r>
              <w:fldChar w:fldCharType="begin"/>
            </w:r>
            <w:r>
              <w:instrText xml:space="preserve"> PAGEREF _Toc100002 \h </w:instrText>
            </w:r>
            <w:r>
              <w:fldChar w:fldCharType="separate"/>
            </w:r>
            <w:r>
              <w:t>4</w:t>
            </w:r>
            <w:r>
              <w:fldChar w:fldCharType="end"/>
            </w:r>
          </w:hyperlink>
        </w:p>
        <w:p>
          <w:pPr>
            <w:pStyle w:val="11"/>
            <w:ind w:left="360"/>
            <w:tabs>
              <w:tab w:val="right" w:leader="dot" w:pos="9026"/>
            </w:tabs>
            <w:spacing w:before="120" w:after="60"/>
          </w:pPr>
          <w:hyperlink w:anchor="_Toc100003" w:history="1">
            <w:r>
              <w:rPr>
                <w:rStyle w:val="Hyperlink"/>
              </w:rPr>
              <w:t>Principle 2 — Async Everything</w:t>
            </w:r>
            <w:r>
              <w:tab/>
            </w:r>
            <w:r>
              <w:fldChar w:fldCharType="begin"/>
            </w:r>
            <w:r>
              <w:instrText xml:space="preserve"> PAGEREF _Toc100003 \h </w:instrText>
            </w:r>
            <w:r>
              <w:fldChar w:fldCharType="separate"/>
            </w:r>
            <w:r>
              <w:t>4</w:t>
            </w:r>
            <w:r>
              <w:fldChar w:fldCharType="end"/>
            </w:r>
          </w:hyperlink>
        </w:p>
        <w:p>
          <w:pPr>
            <w:pStyle w:val="11"/>
            <w:ind w:left="360"/>
            <w:tabs>
              <w:tab w:val="right" w:leader="dot" w:pos="9026"/>
            </w:tabs>
            <w:spacing w:before="120" w:after="60"/>
          </w:pPr>
          <w:hyperlink w:anchor="_Toc100004" w:history="1">
            <w:r>
              <w:rPr>
                <w:rStyle w:val="Hyperlink"/>
              </w:rPr>
              <w:t>Principle 3 — CPU-Optimized Hot Path</w:t>
            </w:r>
            <w:r>
              <w:tab/>
            </w:r>
            <w:r>
              <w:fldChar w:fldCharType="begin"/>
            </w:r>
            <w:r>
              <w:instrText xml:space="preserve"> PAGEREF _Toc100004 \h </w:instrText>
            </w:r>
            <w:r>
              <w:fldChar w:fldCharType="separate"/>
            </w:r>
            <w:r>
              <w:t>4</w:t>
            </w:r>
            <w:r>
              <w:fldChar w:fldCharType="end"/>
            </w:r>
          </w:hyperlink>
        </w:p>
        <w:p>
          <w:pPr>
            <w:pStyle w:val="11"/>
            <w:ind w:left="360"/>
            <w:tabs>
              <w:tab w:val="right" w:leader="dot" w:pos="9026"/>
            </w:tabs>
            <w:spacing w:before="120" w:after="60"/>
          </w:pPr>
          <w:hyperlink w:anchor="_Toc100005" w:history="1">
            <w:r>
              <w:rPr>
                <w:rStyle w:val="Hyperlink"/>
              </w:rPr>
              <w:t>Principle 4 — RAM Efficiency via Pre-Allocation</w:t>
            </w:r>
            <w:r>
              <w:tab/>
            </w:r>
            <w:r>
              <w:fldChar w:fldCharType="begin"/>
            </w:r>
            <w:r>
              <w:instrText xml:space="preserve"> PAGEREF _Toc100005 \h </w:instrText>
            </w:r>
            <w:r>
              <w:fldChar w:fldCharType="separate"/>
            </w:r>
            <w:r>
              <w:t>5</w:t>
            </w:r>
            <w:r>
              <w:fldChar w:fldCharType="end"/>
            </w:r>
          </w:hyperlink>
        </w:p>
        <w:p>
          <w:pPr>
            <w:pStyle w:val="11"/>
            <w:ind w:left="360"/>
            <w:tabs>
              <w:tab w:val="right" w:leader="dot" w:pos="9026"/>
            </w:tabs>
            <w:spacing w:before="120" w:after="60"/>
          </w:pPr>
          <w:hyperlink w:anchor="_Toc100006" w:history="1">
            <w:r>
              <w:rPr>
                <w:rStyle w:val="Hyperlink"/>
              </w:rPr>
              <w:t>Principle 5 — Tick-Based, Not Polling</w:t>
            </w:r>
            <w:r>
              <w:tab/>
            </w:r>
            <w:r>
              <w:fldChar w:fldCharType="begin"/>
            </w:r>
            <w:r>
              <w:instrText xml:space="preserve"> PAGEREF _Toc100006 \h </w:instrText>
            </w:r>
            <w:r>
              <w:fldChar w:fldCharType="separate"/>
            </w:r>
            <w:r>
              <w:t>5</w:t>
            </w:r>
            <w:r>
              <w:fldChar w:fldCharType="end"/>
            </w:r>
          </w:hyperlink>
        </w:p>
        <w:p>
          <w:pPr>
            <w:pStyle w:val="11"/>
            <w:ind w:left="360"/>
            <w:tabs>
              <w:tab w:val="right" w:leader="dot" w:pos="9026"/>
            </w:tabs>
            <w:spacing w:before="120" w:after="60"/>
          </w:pPr>
          <w:hyperlink w:anchor="_Toc100007" w:history="1">
            <w:r>
              <w:rPr>
                <w:rStyle w:val="Hyperlink"/>
              </w:rPr>
              <w:t>Principle 6 — Fail-Safe, Not Fail-Fast</w:t>
            </w:r>
            <w:r>
              <w:tab/>
            </w:r>
            <w:r>
              <w:fldChar w:fldCharType="begin"/>
            </w:r>
            <w:r>
              <w:instrText xml:space="preserve"> PAGEREF _Toc100007 \h </w:instrText>
            </w:r>
            <w:r>
              <w:fldChar w:fldCharType="separate"/>
            </w:r>
            <w:r>
              <w:t>5</w:t>
            </w:r>
            <w:r>
              <w:fldChar w:fldCharType="end"/>
            </w:r>
          </w:hyperlink>
        </w:p>
        <w:p>
          <w:pPr>
            <w:pStyle w:val="9"/>
            <w:tabs>
              <w:tab w:val="right" w:leader="dot" w:pos="9026"/>
            </w:tabs>
            <w:spacing w:before="120" w:after="60"/>
          </w:pPr>
          <w:hyperlink w:anchor="_Toc100008" w:history="1">
            <w:r>
              <w:rPr>
                <w:rStyle w:val="Hyperlink"/>
              </w:rPr>
              <w:t>Chapter 3 — Architecture Overview</w:t>
            </w:r>
            <w:r>
              <w:tab/>
            </w:r>
            <w:r>
              <w:fldChar w:fldCharType="begin"/>
            </w:r>
            <w:r>
              <w:instrText xml:space="preserve"> PAGEREF _Toc100008 \h </w:instrText>
            </w:r>
            <w:r>
              <w:fldChar w:fldCharType="separate"/>
            </w:r>
            <w:r>
              <w:t>5</w:t>
            </w:r>
            <w:r>
              <w:fldChar w:fldCharType="end"/>
            </w:r>
          </w:hyperlink>
        </w:p>
        <w:p>
          <w:pPr>
            <w:pStyle w:val="11"/>
            <w:ind w:left="360"/>
            <w:tabs>
              <w:tab w:val="right" w:leader="dot" w:pos="9026"/>
            </w:tabs>
            <w:spacing w:before="120" w:after="60"/>
          </w:pPr>
          <w:hyperlink w:anchor="_Toc100009" w:history="1">
            <w:r>
              <w:rPr>
                <w:rStyle w:val="Hyperlink"/>
              </w:rPr>
              <w:t>Layer Responsibilities</w:t>
            </w:r>
            <w:r>
              <w:tab/>
            </w:r>
            <w:r>
              <w:fldChar w:fldCharType="begin"/>
            </w:r>
            <w:r>
              <w:instrText xml:space="preserve"> PAGEREF _Toc100009 \h </w:instrText>
            </w:r>
            <w:r>
              <w:fldChar w:fldCharType="separate"/>
            </w:r>
            <w:r>
              <w:t>6</w:t>
            </w:r>
            <w:r>
              <w:fldChar w:fldCharType="end"/>
            </w:r>
          </w:hyperlink>
        </w:p>
        <w:p>
          <w:pPr>
            <w:pStyle w:val="12"/>
            <w:ind w:left="720"/>
            <w:tabs>
              <w:tab w:val="right" w:leader="dot" w:pos="9026"/>
            </w:tabs>
            <w:spacing w:before="120" w:after="60"/>
          </w:pPr>
          <w:hyperlink w:anchor="_Toc100010" w:history="1">
            <w:r>
              <w:rPr>
                <w:rStyle w:val="Hyperlink"/>
              </w:rPr>
              <w:t>L1 — Ingest</w:t>
            </w:r>
            <w:r>
              <w:tab/>
            </w:r>
            <w:r>
              <w:fldChar w:fldCharType="begin"/>
            </w:r>
            <w:r>
              <w:instrText xml:space="preserve"> PAGEREF _Toc100010 \h </w:instrText>
            </w:r>
            <w:r>
              <w:fldChar w:fldCharType="separate"/>
            </w:r>
            <w:r>
              <w:t>6</w:t>
            </w:r>
            <w:r>
              <w:fldChar w:fldCharType="end"/>
            </w:r>
          </w:hyperlink>
        </w:p>
        <w:p>
          <w:pPr>
            <w:pStyle w:val="12"/>
            <w:ind w:left="720"/>
            <w:tabs>
              <w:tab w:val="right" w:leader="dot" w:pos="9026"/>
            </w:tabs>
            <w:spacing w:before="120" w:after="60"/>
          </w:pPr>
          <w:hyperlink w:anchor="_Toc100011" w:history="1">
            <w:r>
              <w:rPr>
                <w:rStyle w:val="Hyperlink"/>
              </w:rPr>
              <w:t>L2 — Decision</w:t>
            </w:r>
            <w:r>
              <w:tab/>
            </w:r>
            <w:r>
              <w:fldChar w:fldCharType="begin"/>
            </w:r>
            <w:r>
              <w:instrText xml:space="preserve"> PAGEREF _Toc100011 \h </w:instrText>
            </w:r>
            <w:r>
              <w:fldChar w:fldCharType="separate"/>
            </w:r>
            <w:r>
              <w:t>6</w:t>
            </w:r>
            <w:r>
              <w:fldChar w:fldCharType="end"/>
            </w:r>
          </w:hyperlink>
        </w:p>
        <w:p>
          <w:pPr>
            <w:pStyle w:val="12"/>
            <w:ind w:left="720"/>
            <w:tabs>
              <w:tab w:val="right" w:leader="dot" w:pos="9026"/>
            </w:tabs>
            <w:spacing w:before="120" w:after="60"/>
          </w:pPr>
          <w:hyperlink w:anchor="_Toc100012" w:history="1">
            <w:r>
              <w:rPr>
                <w:rStyle w:val="Hyperlink"/>
              </w:rPr>
              <w:t>L3 — Execution (Hot Path)</w:t>
            </w:r>
            <w:r>
              <w:tab/>
            </w:r>
            <w:r>
              <w:fldChar w:fldCharType="begin"/>
            </w:r>
            <w:r>
              <w:instrText xml:space="preserve"> PAGEREF _Toc100012 \h </w:instrText>
            </w:r>
            <w:r>
              <w:fldChar w:fldCharType="separate"/>
            </w:r>
            <w:r>
              <w:t>6</w:t>
            </w:r>
            <w:r>
              <w:fldChar w:fldCharType="end"/>
            </w:r>
          </w:hyperlink>
        </w:p>
        <w:p>
          <w:pPr>
            <w:pStyle w:val="12"/>
            <w:ind w:left="720"/>
            <w:tabs>
              <w:tab w:val="right" w:leader="dot" w:pos="9026"/>
            </w:tabs>
            <w:spacing w:before="120" w:after="60"/>
          </w:pPr>
          <w:hyperlink w:anchor="_Toc100013" w:history="1">
            <w:r>
              <w:rPr>
                <w:rStyle w:val="Hyperlink"/>
              </w:rPr>
              <w:t>L4 — Monitoring</w:t>
            </w:r>
            <w:r>
              <w:tab/>
            </w:r>
            <w:r>
              <w:fldChar w:fldCharType="begin"/>
            </w:r>
            <w:r>
              <w:instrText xml:space="preserve"> PAGEREF _Toc100013 \h </w:instrText>
            </w:r>
            <w:r>
              <w:fldChar w:fldCharType="separate"/>
            </w:r>
            <w:r>
              <w:t>7</w:t>
            </w:r>
            <w:r>
              <w:fldChar w:fldCharType="end"/>
            </w:r>
          </w:hyperlink>
        </w:p>
        <w:p>
          <w:pPr>
            <w:pStyle w:val="12"/>
            <w:ind w:left="720"/>
            <w:tabs>
              <w:tab w:val="right" w:leader="dot" w:pos="9026"/>
            </w:tabs>
            <w:spacing w:before="120" w:after="60"/>
          </w:pPr>
          <w:hyperlink w:anchor="_Toc100014" w:history="1">
            <w:r>
              <w:rPr>
                <w:rStyle w:val="Hyperlink"/>
              </w:rPr>
              <w:t>L5 — Recovery</w:t>
            </w:r>
            <w:r>
              <w:tab/>
            </w:r>
            <w:r>
              <w:fldChar w:fldCharType="begin"/>
            </w:r>
            <w:r>
              <w:instrText xml:space="preserve"> PAGEREF _Toc100014 \h </w:instrText>
            </w:r>
            <w:r>
              <w:fldChar w:fldCharType="separate"/>
            </w:r>
            <w:r>
              <w:t>7</w:t>
            </w:r>
            <w:r>
              <w:fldChar w:fldCharType="end"/>
            </w:r>
          </w:hyperlink>
        </w:p>
        <w:p>
          <w:pPr>
            <w:pStyle w:val="12"/>
            <w:ind w:left="720"/>
            <w:tabs>
              <w:tab w:val="right" w:leader="dot" w:pos="9026"/>
            </w:tabs>
            <w:spacing w:before="120" w:after="60"/>
          </w:pPr>
          <w:hyperlink w:anchor="_Toc100015" w:history="1">
            <w:r>
              <w:rPr>
                <w:rStyle w:val="Hyperlink"/>
              </w:rPr>
              <w:t>L6 — Persistence &amp; Observability</w:t>
            </w:r>
            <w:r>
              <w:tab/>
            </w:r>
            <w:r>
              <w:fldChar w:fldCharType="begin"/>
            </w:r>
            <w:r>
              <w:instrText xml:space="preserve"> PAGEREF _Toc100015 \h </w:instrText>
            </w:r>
            <w:r>
              <w:fldChar w:fldCharType="separate"/>
            </w:r>
            <w:r>
              <w:t>7</w:t>
            </w:r>
            <w:r>
              <w:fldChar w:fldCharType="end"/>
            </w:r>
          </w:hyperlink>
        </w:p>
        <w:p>
          <w:pPr>
            <w:pStyle w:val="11"/>
            <w:ind w:left="360"/>
            <w:tabs>
              <w:tab w:val="right" w:leader="dot" w:pos="9026"/>
            </w:tabs>
            <w:spacing w:before="120" w:after="60"/>
          </w:pPr>
          <w:hyperlink w:anchor="_Toc100016" w:history="1">
            <w:r>
              <w:rPr>
                <w:rStyle w:val="Hyperlink"/>
              </w:rPr>
              <w:t>Service Inventory</w:t>
            </w:r>
            <w:r>
              <w:tab/>
            </w:r>
            <w:r>
              <w:fldChar w:fldCharType="begin"/>
            </w:r>
            <w:r>
              <w:instrText xml:space="preserve"> PAGEREF _Toc100016 \h </w:instrText>
            </w:r>
            <w:r>
              <w:fldChar w:fldCharType="separate"/>
            </w:r>
            <w:r>
              <w:t>7</w:t>
            </w:r>
            <w:r>
              <w:fldChar w:fldCharType="end"/>
            </w:r>
          </w:hyperlink>
        </w:p>
        <w:p>
          <w:pPr>
            <w:pStyle w:val="9"/>
            <w:tabs>
              <w:tab w:val="right" w:leader="dot" w:pos="9026"/>
            </w:tabs>
            <w:spacing w:before="120" w:after="60"/>
          </w:pPr>
          <w:hyperlink w:anchor="_Toc100017" w:history="1">
            <w:r>
              <w:rPr>
                <w:rStyle w:val="Hyperlink"/>
              </w:rPr>
              <w:t>Chapter 4 — Async Processing Model</w:t>
            </w:r>
            <w:r>
              <w:tab/>
            </w:r>
            <w:r>
              <w:fldChar w:fldCharType="begin"/>
            </w:r>
            <w:r>
              <w:instrText xml:space="preserve"> PAGEREF _Toc100017 \h </w:instrText>
            </w:r>
            <w:r>
              <w:fldChar w:fldCharType="separate"/>
            </w:r>
            <w:r>
              <w:t>8</w:t>
            </w:r>
            <w:r>
              <w:fldChar w:fldCharType="end"/>
            </w:r>
          </w:hyperlink>
        </w:p>
        <w:p>
          <w:pPr>
            <w:pStyle w:val="11"/>
            <w:ind w:left="360"/>
            <w:tabs>
              <w:tab w:val="right" w:leader="dot" w:pos="9026"/>
            </w:tabs>
            <w:spacing w:before="120" w:after="60"/>
          </w:pPr>
          <w:hyperlink w:anchor="_Toc100018" w:history="1">
            <w:r>
              <w:rPr>
                <w:rStyle w:val="Hyperlink"/>
              </w:rPr>
              <w:t>Lock-Free SPSC Queues</w:t>
            </w:r>
            <w:r>
              <w:tab/>
            </w:r>
            <w:r>
              <w:fldChar w:fldCharType="begin"/>
            </w:r>
            <w:r>
              <w:instrText xml:space="preserve"> PAGEREF _Toc100018 \h </w:instrText>
            </w:r>
            <w:r>
              <w:fldChar w:fldCharType="separate"/>
            </w:r>
            <w:r>
              <w:t>8</w:t>
            </w:r>
            <w:r>
              <w:fldChar w:fldCharType="end"/>
            </w:r>
          </w:hyperlink>
        </w:p>
        <w:p>
          <w:pPr>
            <w:pStyle w:val="11"/>
            <w:ind w:left="360"/>
            <w:tabs>
              <w:tab w:val="right" w:leader="dot" w:pos="9026"/>
            </w:tabs>
            <w:spacing w:before="120" w:after="60"/>
          </w:pPr>
          <w:hyperlink w:anchor="_Toc100019" w:history="1">
            <w:r>
              <w:rPr>
                <w:rStyle w:val="Hyperlink"/>
              </w:rPr>
              <w:t>Event Loop Architecture</w:t>
            </w:r>
            <w:r>
              <w:tab/>
            </w:r>
            <w:r>
              <w:fldChar w:fldCharType="begin"/>
            </w:r>
            <w:r>
              <w:instrText xml:space="preserve"> PAGEREF _Toc100019 \h </w:instrText>
            </w:r>
            <w:r>
              <w:fldChar w:fldCharType="separate"/>
            </w:r>
            <w:r>
              <w:t>8</w:t>
            </w:r>
            <w:r>
              <w:fldChar w:fldCharType="end"/>
            </w:r>
          </w:hyperlink>
        </w:p>
        <w:p>
          <w:pPr>
            <w:pStyle w:val="11"/>
            <w:ind w:left="360"/>
            <w:tabs>
              <w:tab w:val="right" w:leader="dot" w:pos="9026"/>
            </w:tabs>
            <w:spacing w:before="120" w:after="60"/>
          </w:pPr>
          <w:hyperlink w:anchor="_Toc100020" w:history="1">
            <w:r>
              <w:rPr>
                <w:rStyle w:val="Hyperlink"/>
              </w:rPr>
              <w:t>Thread Model</w:t>
            </w:r>
            <w:r>
              <w:tab/>
            </w:r>
            <w:r>
              <w:fldChar w:fldCharType="begin"/>
            </w:r>
            <w:r>
              <w:instrText xml:space="preserve"> PAGEREF _Toc100020 \h </w:instrText>
            </w:r>
            <w:r>
              <w:fldChar w:fldCharType="separate"/>
            </w:r>
            <w:r>
              <w:t>9</w:t>
            </w:r>
            <w:r>
              <w:fldChar w:fldCharType="end"/>
            </w:r>
          </w:hyperlink>
        </w:p>
        <w:p>
          <w:pPr>
            <w:pStyle w:val="11"/>
            <w:ind w:left="360"/>
            <w:tabs>
              <w:tab w:val="right" w:leader="dot" w:pos="9026"/>
            </w:tabs>
            <w:spacing w:before="120" w:after="60"/>
          </w:pPr>
          <w:hyperlink w:anchor="_Toc100021" w:history="1">
            <w:r>
              <w:rPr>
                <w:rStyle w:val="Hyperlink"/>
              </w:rPr>
              <w:t>Backpressure Strategy</w:t>
            </w:r>
            <w:r>
              <w:tab/>
            </w:r>
            <w:r>
              <w:fldChar w:fldCharType="begin"/>
            </w:r>
            <w:r>
              <w:instrText xml:space="preserve"> PAGEREF _Toc100021 \h </w:instrText>
            </w:r>
            <w:r>
              <w:fldChar w:fldCharType="separate"/>
            </w:r>
            <w:r>
              <w:t>9</w:t>
            </w:r>
            <w:r>
              <w:fldChar w:fldCharType="end"/>
            </w:r>
          </w:hyperlink>
        </w:p>
        <w:p>
          <w:pPr>
            <w:pStyle w:val="9"/>
            <w:tabs>
              <w:tab w:val="right" w:leader="dot" w:pos="9026"/>
            </w:tabs>
            <w:spacing w:before="120" w:after="60"/>
          </w:pPr>
          <w:hyperlink w:anchor="_Toc100022" w:history="1">
            <w:r>
              <w:rPr>
                <w:rStyle w:val="Hyperlink"/>
              </w:rPr>
              <w:t>Chapter 5 — Tick-Based Execution</w:t>
            </w:r>
            <w:r>
              <w:tab/>
            </w:r>
            <w:r>
              <w:fldChar w:fldCharType="begin"/>
            </w:r>
            <w:r>
              <w:instrText xml:space="preserve"> PAGEREF _Toc100022 \h </w:instrText>
            </w:r>
            <w:r>
              <w:fldChar w:fldCharType="separate"/>
            </w:r>
            <w:r>
              <w:t>9</w:t>
            </w:r>
            <w:r>
              <w:fldChar w:fldCharType="end"/>
            </w:r>
          </w:hyperlink>
        </w:p>
        <w:p>
          <w:pPr>
            <w:pStyle w:val="11"/>
            <w:ind w:left="360"/>
            <w:tabs>
              <w:tab w:val="right" w:leader="dot" w:pos="9026"/>
            </w:tabs>
            <w:spacing w:before="120" w:after="60"/>
          </w:pPr>
          <w:hyperlink w:anchor="_Toc100023" w:history="1">
            <w:r>
              <w:rPr>
                <w:rStyle w:val="Hyperlink"/>
              </w:rPr>
              <w:t>Tick Path</w:t>
            </w:r>
            <w:r>
              <w:tab/>
            </w:r>
            <w:r>
              <w:fldChar w:fldCharType="begin"/>
            </w:r>
            <w:r>
              <w:instrText xml:space="preserve"> PAGEREF _Toc100023 \h </w:instrText>
            </w:r>
            <w:r>
              <w:fldChar w:fldCharType="separate"/>
            </w:r>
            <w:r>
              <w:t>9</w:t>
            </w:r>
            <w:r>
              <w:fldChar w:fldCharType="end"/>
            </w:r>
          </w:hyperlink>
        </w:p>
        <w:p>
          <w:pPr>
            <w:pStyle w:val="11"/>
            <w:ind w:left="360"/>
            <w:tabs>
              <w:tab w:val="right" w:leader="dot" w:pos="9026"/>
            </w:tabs>
            <w:spacing w:before="120" w:after="60"/>
          </w:pPr>
          <w:hyperlink w:anchor="_Toc100024" w:history="1">
            <w:r>
              <w:rPr>
                <w:rStyle w:val="Hyperlink"/>
              </w:rPr>
              <w:t>Signal Evaluation</w:t>
            </w:r>
            <w:r>
              <w:tab/>
            </w:r>
            <w:r>
              <w:fldChar w:fldCharType="begin"/>
            </w:r>
            <w:r>
              <w:instrText xml:space="preserve"> PAGEREF _Toc100024 \h </w:instrText>
            </w:r>
            <w:r>
              <w:fldChar w:fldCharType="separate"/>
            </w:r>
            <w:r>
              <w:t>10</w:t>
            </w:r>
            <w:r>
              <w:fldChar w:fldCharType="end"/>
            </w:r>
          </w:hyperlink>
        </w:p>
        <w:p>
          <w:pPr>
            <w:pStyle w:val="11"/>
            <w:ind w:left="360"/>
            <w:tabs>
              <w:tab w:val="right" w:leader="dot" w:pos="9026"/>
            </w:tabs>
            <w:spacing w:before="120" w:after="60"/>
          </w:pPr>
          <w:hyperlink w:anchor="_Toc100025" w:history="1">
            <w:r>
              <w:rPr>
                <w:rStyle w:val="Hyperlink"/>
              </w:rPr>
              <w:t>Tick-Driven vs Time-Driven Decisions</w:t>
            </w:r>
            <w:r>
              <w:tab/>
            </w:r>
            <w:r>
              <w:fldChar w:fldCharType="begin"/>
            </w:r>
            <w:r>
              <w:instrText xml:space="preserve"> PAGEREF _Toc100025 \h </w:instrText>
            </w:r>
            <w:r>
              <w:fldChar w:fldCharType="separate"/>
            </w:r>
            <w:r>
              <w:t>10</w:t>
            </w:r>
            <w:r>
              <w:fldChar w:fldCharType="end"/>
            </w:r>
          </w:hyperlink>
        </w:p>
        <w:p>
          <w:pPr>
            <w:pStyle w:val="11"/>
            <w:ind w:left="360"/>
            <w:tabs>
              <w:tab w:val="right" w:leader="dot" w:pos="9026"/>
            </w:tabs>
            <w:spacing w:before="120" w:after="60"/>
          </w:pPr>
          <w:hyperlink w:anchor="_Toc100026" w:history="1">
            <w:r>
              <w:rPr>
                <w:rStyle w:val="Hyperlink"/>
              </w:rPr>
              <w:t>Stop Order Evaluation Example</w:t>
            </w:r>
            <w:r>
              <w:tab/>
            </w:r>
            <w:r>
              <w:fldChar w:fldCharType="begin"/>
            </w:r>
            <w:r>
              <w:instrText xml:space="preserve"> PAGEREF _Toc100026 \h </w:instrText>
            </w:r>
            <w:r>
              <w:fldChar w:fldCharType="separate"/>
            </w:r>
            <w:r>
              <w:t>10</w:t>
            </w:r>
            <w:r>
              <w:fldChar w:fldCharType="end"/>
            </w:r>
          </w:hyperlink>
        </w:p>
        <w:p>
          <w:pPr>
            <w:pStyle w:val="9"/>
            <w:tabs>
              <w:tab w:val="right" w:leader="dot" w:pos="9026"/>
            </w:tabs>
            <w:spacing w:before="120" w:after="60"/>
          </w:pPr>
          <w:hyperlink w:anchor="_Toc100027" w:history="1">
            <w:r>
              <w:rPr>
                <w:rStyle w:val="Hyperlink"/>
              </w:rPr>
              <w:t>Chapter 6 — End-to-End Execution Flow</w:t>
            </w:r>
            <w:r>
              <w:tab/>
            </w:r>
            <w:r>
              <w:fldChar w:fldCharType="begin"/>
            </w:r>
            <w:r>
              <w:instrText xml:space="preserve"> PAGEREF _Toc100027 \h </w:instrText>
            </w:r>
            <w:r>
              <w:fldChar w:fldCharType="separate"/>
            </w:r>
            <w:r>
              <w:t>10</w:t>
            </w:r>
            <w:r>
              <w:fldChar w:fldCharType="end"/>
            </w:r>
          </w:hyperlink>
        </w:p>
        <w:p>
          <w:pPr>
            <w:pStyle w:val="11"/>
            <w:ind w:left="360"/>
            <w:tabs>
              <w:tab w:val="right" w:leader="dot" w:pos="9026"/>
            </w:tabs>
            <w:spacing w:before="120" w:after="60"/>
          </w:pPr>
          <w:hyperlink w:anchor="_Toc100028" w:history="1">
            <w:r>
              <w:rPr>
                <w:rStyle w:val="Hyperlink"/>
              </w:rPr>
              <w:t>Happy Path Sequence</w:t>
            </w:r>
            <w:r>
              <w:tab/>
            </w:r>
            <w:r>
              <w:fldChar w:fldCharType="begin"/>
            </w:r>
            <w:r>
              <w:instrText xml:space="preserve"> PAGEREF _Toc100028 \h </w:instrText>
            </w:r>
            <w:r>
              <w:fldChar w:fldCharType="separate"/>
            </w:r>
            <w:r>
              <w:t>11</w:t>
            </w:r>
            <w:r>
              <w:fldChar w:fldCharType="end"/>
            </w:r>
          </w:hyperlink>
        </w:p>
        <w:p>
          <w:pPr>
            <w:pStyle w:val="11"/>
            <w:ind w:left="360"/>
            <w:tabs>
              <w:tab w:val="right" w:leader="dot" w:pos="9026"/>
            </w:tabs>
            <w:spacing w:before="120" w:after="60"/>
          </w:pPr>
          <w:hyperlink w:anchor="_Toc100029" w:history="1">
            <w:r>
              <w:rPr>
                <w:rStyle w:val="Hyperlink"/>
              </w:rPr>
              <w:t>Failure Path 1 — Risk Rejection</w:t>
            </w:r>
            <w:r>
              <w:tab/>
            </w:r>
            <w:r>
              <w:fldChar w:fldCharType="begin"/>
            </w:r>
            <w:r>
              <w:instrText xml:space="preserve"> PAGEREF _Toc100029 \h </w:instrText>
            </w:r>
            <w:r>
              <w:fldChar w:fldCharType="separate"/>
            </w:r>
            <w:r>
              <w:t>11</w:t>
            </w:r>
            <w:r>
              <w:fldChar w:fldCharType="end"/>
            </w:r>
          </w:hyperlink>
        </w:p>
        <w:p>
          <w:pPr>
            <w:pStyle w:val="11"/>
            <w:ind w:left="360"/>
            <w:tabs>
              <w:tab w:val="right" w:leader="dot" w:pos="9026"/>
            </w:tabs>
            <w:spacing w:before="120" w:after="60"/>
          </w:pPr>
          <w:hyperlink w:anchor="_Toc100030" w:history="1">
            <w:r>
              <w:rPr>
                <w:rStyle w:val="Hyperlink"/>
              </w:rPr>
              <w:t>Failure Path 2 — Broker Rejection with Retry</w:t>
            </w:r>
            <w:r>
              <w:tab/>
            </w:r>
            <w:r>
              <w:fldChar w:fldCharType="begin"/>
            </w:r>
            <w:r>
              <w:instrText xml:space="preserve"> PAGEREF _Toc100030 \h </w:instrText>
            </w:r>
            <w:r>
              <w:fldChar w:fldCharType="separate"/>
            </w:r>
            <w:r>
              <w:t>11</w:t>
            </w:r>
            <w:r>
              <w:fldChar w:fldCharType="end"/>
            </w:r>
          </w:hyperlink>
        </w:p>
        <w:p>
          <w:pPr>
            <w:pStyle w:val="11"/>
            <w:ind w:left="360"/>
            <w:tabs>
              <w:tab w:val="right" w:leader="dot" w:pos="9026"/>
            </w:tabs>
            <w:spacing w:before="120" w:after="60"/>
          </w:pPr>
          <w:hyperlink w:anchor="_Toc100031" w:history="1">
            <w:r>
              <w:rPr>
                <w:rStyle w:val="Hyperlink"/>
              </w:rPr>
              <w:t>Failure Path 3 — Submit Timeout</w:t>
            </w:r>
            <w:r>
              <w:tab/>
            </w:r>
            <w:r>
              <w:fldChar w:fldCharType="begin"/>
            </w:r>
            <w:r>
              <w:instrText xml:space="preserve"> PAGEREF _Toc100031 \h </w:instrText>
            </w:r>
            <w:r>
              <w:fldChar w:fldCharType="separate"/>
            </w:r>
            <w:r>
              <w:t>12</w:t>
            </w:r>
            <w:r>
              <w:fldChar w:fldCharType="end"/>
            </w:r>
          </w:hyperlink>
        </w:p>
        <w:p>
          <w:pPr>
            <w:pStyle w:val="9"/>
            <w:tabs>
              <w:tab w:val="right" w:leader="dot" w:pos="9026"/>
            </w:tabs>
            <w:spacing w:before="120" w:after="60"/>
          </w:pPr>
          <w:hyperlink w:anchor="_Toc100032" w:history="1">
            <w:r>
              <w:rPr>
                <w:rStyle w:val="Hyperlink"/>
              </w:rPr>
              <w:t>Chapter 7 — Order Lifecycle — State Machine</w:t>
            </w:r>
            <w:r>
              <w:tab/>
            </w:r>
            <w:r>
              <w:fldChar w:fldCharType="begin"/>
            </w:r>
            <w:r>
              <w:instrText xml:space="preserve"> PAGEREF _Toc100032 \h </w:instrText>
            </w:r>
            <w:r>
              <w:fldChar w:fldCharType="separate"/>
            </w:r>
            <w:r>
              <w:t>12</w:t>
            </w:r>
            <w:r>
              <w:fldChar w:fldCharType="end"/>
            </w:r>
          </w:hyperlink>
        </w:p>
        <w:p>
          <w:pPr>
            <w:pStyle w:val="11"/>
            <w:ind w:left="360"/>
            <w:tabs>
              <w:tab w:val="right" w:leader="dot" w:pos="9026"/>
            </w:tabs>
            <w:spacing w:before="120" w:after="60"/>
          </w:pPr>
          <w:hyperlink w:anchor="_Toc100033" w:history="1">
            <w:r>
              <w:rPr>
                <w:rStyle w:val="Hyperlink"/>
              </w:rPr>
              <w:t>State Definitions</w:t>
            </w:r>
            <w:r>
              <w:tab/>
            </w:r>
            <w:r>
              <w:fldChar w:fldCharType="begin"/>
            </w:r>
            <w:r>
              <w:instrText xml:space="preserve"> PAGEREF _Toc100033 \h </w:instrText>
            </w:r>
            <w:r>
              <w:fldChar w:fldCharType="separate"/>
            </w:r>
            <w:r>
              <w:t>12</w:t>
            </w:r>
            <w:r>
              <w:fldChar w:fldCharType="end"/>
            </w:r>
          </w:hyperlink>
        </w:p>
        <w:p>
          <w:pPr>
            <w:pStyle w:val="12"/>
            <w:ind w:left="720"/>
            <w:tabs>
              <w:tab w:val="right" w:leader="dot" w:pos="9026"/>
            </w:tabs>
            <w:spacing w:before="120" w:after="60"/>
          </w:pPr>
          <w:hyperlink w:anchor="_Toc100034" w:history="1">
            <w:r>
              <w:rPr>
                <w:rStyle w:val="Hyperlink"/>
              </w:rPr>
              <w:t>NEW (initial)</w:t>
            </w:r>
            <w:r>
              <w:tab/>
            </w:r>
            <w:r>
              <w:fldChar w:fldCharType="begin"/>
            </w:r>
            <w:r>
              <w:instrText xml:space="preserve"> PAGEREF _Toc100034 \h </w:instrText>
            </w:r>
            <w:r>
              <w:fldChar w:fldCharType="separate"/>
            </w:r>
            <w:r>
              <w:t>13</w:t>
            </w:r>
            <w:r>
              <w:fldChar w:fldCharType="end"/>
            </w:r>
          </w:hyperlink>
        </w:p>
        <w:p>
          <w:pPr>
            <w:pStyle w:val="12"/>
            <w:ind w:left="720"/>
            <w:tabs>
              <w:tab w:val="right" w:leader="dot" w:pos="9026"/>
            </w:tabs>
            <w:spacing w:before="120" w:after="60"/>
          </w:pPr>
          <w:hyperlink w:anchor="_Toc100035" w:history="1">
            <w:r>
              <w:rPr>
                <w:rStyle w:val="Hyperlink"/>
              </w:rPr>
              <w:t>VALIDATED</w:t>
            </w:r>
            <w:r>
              <w:tab/>
            </w:r>
            <w:r>
              <w:fldChar w:fldCharType="begin"/>
            </w:r>
            <w:r>
              <w:instrText xml:space="preserve"> PAGEREF _Toc100035 \h </w:instrText>
            </w:r>
            <w:r>
              <w:fldChar w:fldCharType="separate"/>
            </w:r>
            <w:r>
              <w:t>13</w:t>
            </w:r>
            <w:r>
              <w:fldChar w:fldCharType="end"/>
            </w:r>
          </w:hyperlink>
        </w:p>
        <w:p>
          <w:pPr>
            <w:pStyle w:val="12"/>
            <w:ind w:left="720"/>
            <w:tabs>
              <w:tab w:val="right" w:leader="dot" w:pos="9026"/>
            </w:tabs>
            <w:spacing w:before="120" w:after="60"/>
          </w:pPr>
          <w:hyperlink w:anchor="_Toc100036" w:history="1">
            <w:r>
              <w:rPr>
                <w:rStyle w:val="Hyperlink"/>
              </w:rPr>
              <w:t>SENT</w:t>
            </w:r>
            <w:r>
              <w:tab/>
            </w:r>
            <w:r>
              <w:fldChar w:fldCharType="begin"/>
            </w:r>
            <w:r>
              <w:instrText xml:space="preserve"> PAGEREF _Toc100036 \h </w:instrText>
            </w:r>
            <w:r>
              <w:fldChar w:fldCharType="separate"/>
            </w:r>
            <w:r>
              <w:t>13</w:t>
            </w:r>
            <w:r>
              <w:fldChar w:fldCharType="end"/>
            </w:r>
          </w:hyperlink>
        </w:p>
        <w:p>
          <w:pPr>
            <w:pStyle w:val="12"/>
            <w:ind w:left="720"/>
            <w:tabs>
              <w:tab w:val="right" w:leader="dot" w:pos="9026"/>
            </w:tabs>
            <w:spacing w:before="120" w:after="60"/>
          </w:pPr>
          <w:hyperlink w:anchor="_Toc100037" w:history="1">
            <w:r>
              <w:rPr>
                <w:rStyle w:val="Hyperlink"/>
              </w:rPr>
              <w:t>PARTIAL</w:t>
            </w:r>
            <w:r>
              <w:tab/>
            </w:r>
            <w:r>
              <w:fldChar w:fldCharType="begin"/>
            </w:r>
            <w:r>
              <w:instrText xml:space="preserve"> PAGEREF _Toc100037 \h </w:instrText>
            </w:r>
            <w:r>
              <w:fldChar w:fldCharType="separate"/>
            </w:r>
            <w:r>
              <w:t>13</w:t>
            </w:r>
            <w:r>
              <w:fldChar w:fldCharType="end"/>
            </w:r>
          </w:hyperlink>
        </w:p>
        <w:p>
          <w:pPr>
            <w:pStyle w:val="12"/>
            <w:ind w:left="720"/>
            <w:tabs>
              <w:tab w:val="right" w:leader="dot" w:pos="9026"/>
            </w:tabs>
            <w:spacing w:before="120" w:after="60"/>
          </w:pPr>
          <w:hyperlink w:anchor="_Toc100038" w:history="1">
            <w:r>
              <w:rPr>
                <w:rStyle w:val="Hyperlink"/>
              </w:rPr>
              <w:t>FILLED (terminal, success)</w:t>
            </w:r>
            <w:r>
              <w:tab/>
            </w:r>
            <w:r>
              <w:fldChar w:fldCharType="begin"/>
            </w:r>
            <w:r>
              <w:instrText xml:space="preserve"> PAGEREF _Toc100038 \h </w:instrText>
            </w:r>
            <w:r>
              <w:fldChar w:fldCharType="separate"/>
            </w:r>
            <w:r>
              <w:t>14</w:t>
            </w:r>
            <w:r>
              <w:fldChar w:fldCharType="end"/>
            </w:r>
          </w:hyperlink>
        </w:p>
        <w:p>
          <w:pPr>
            <w:pStyle w:val="12"/>
            <w:ind w:left="720"/>
            <w:tabs>
              <w:tab w:val="right" w:leader="dot" w:pos="9026"/>
            </w:tabs>
            <w:spacing w:before="120" w:after="60"/>
          </w:pPr>
          <w:hyperlink w:anchor="_Toc100039" w:history="1">
            <w:r>
              <w:rPr>
                <w:rStyle w:val="Hyperlink"/>
              </w:rPr>
              <w:t>CANCELED (terminal, operator)</w:t>
            </w:r>
            <w:r>
              <w:tab/>
            </w:r>
            <w:r>
              <w:fldChar w:fldCharType="begin"/>
            </w:r>
            <w:r>
              <w:instrText xml:space="preserve"> PAGEREF _Toc100039 \h </w:instrText>
            </w:r>
            <w:r>
              <w:fldChar w:fldCharType="separate"/>
            </w:r>
            <w:r>
              <w:t>14</w:t>
            </w:r>
            <w:r>
              <w:fldChar w:fldCharType="end"/>
            </w:r>
          </w:hyperlink>
        </w:p>
        <w:p>
          <w:pPr>
            <w:pStyle w:val="12"/>
            <w:ind w:left="720"/>
            <w:tabs>
              <w:tab w:val="right" w:leader="dot" w:pos="9026"/>
            </w:tabs>
            <w:spacing w:before="120" w:after="60"/>
          </w:pPr>
          <w:hyperlink w:anchor="_Toc100040" w:history="1">
            <w:r>
              <w:rPr>
                <w:rStyle w:val="Hyperlink"/>
              </w:rPr>
              <w:t>REJECTED (terminal, failure)</w:t>
            </w:r>
            <w:r>
              <w:tab/>
            </w:r>
            <w:r>
              <w:fldChar w:fldCharType="begin"/>
            </w:r>
            <w:r>
              <w:instrText xml:space="preserve"> PAGEREF _Toc100040 \h </w:instrText>
            </w:r>
            <w:r>
              <w:fldChar w:fldCharType="separate"/>
            </w:r>
            <w:r>
              <w:t>14</w:t>
            </w:r>
            <w:r>
              <w:fldChar w:fldCharType="end"/>
            </w:r>
          </w:hyperlink>
        </w:p>
        <w:p>
          <w:pPr>
            <w:pStyle w:val="12"/>
            <w:ind w:left="720"/>
            <w:tabs>
              <w:tab w:val="right" w:leader="dot" w:pos="9026"/>
            </w:tabs>
            <w:spacing w:before="120" w:after="60"/>
          </w:pPr>
          <w:hyperlink w:anchor="_Toc100041" w:history="1">
            <w:r>
              <w:rPr>
                <w:rStyle w:val="Hyperlink"/>
              </w:rPr>
              <w:t>EXPIRED (terminal, time)</w:t>
            </w:r>
            <w:r>
              <w:tab/>
            </w:r>
            <w:r>
              <w:fldChar w:fldCharType="begin"/>
            </w:r>
            <w:r>
              <w:instrText xml:space="preserve"> PAGEREF _Toc100041 \h </w:instrText>
            </w:r>
            <w:r>
              <w:fldChar w:fldCharType="separate"/>
            </w:r>
            <w:r>
              <w:t>14</w:t>
            </w:r>
            <w:r>
              <w:fldChar w:fldCharType="end"/>
            </w:r>
          </w:hyperlink>
        </w:p>
        <w:p>
          <w:pPr>
            <w:pStyle w:val="12"/>
            <w:ind w:left="720"/>
            <w:tabs>
              <w:tab w:val="right" w:leader="dot" w:pos="9026"/>
            </w:tabs>
            <w:spacing w:before="120" w:after="60"/>
          </w:pPr>
          <w:hyperlink w:anchor="_Toc100042" w:history="1">
            <w:r>
              <w:rPr>
                <w:rStyle w:val="Hyperlink"/>
              </w:rPr>
              <w:t>ERROR (terminal, system)</w:t>
            </w:r>
            <w:r>
              <w:tab/>
            </w:r>
            <w:r>
              <w:fldChar w:fldCharType="begin"/>
            </w:r>
            <w:r>
              <w:instrText xml:space="preserve"> PAGEREF _Toc100042 \h </w:instrText>
            </w:r>
            <w:r>
              <w:fldChar w:fldCharType="separate"/>
            </w:r>
            <w:r>
              <w:t>15</w:t>
            </w:r>
            <w:r>
              <w:fldChar w:fldCharType="end"/>
            </w:r>
          </w:hyperlink>
        </w:p>
        <w:p>
          <w:pPr>
            <w:pStyle w:val="11"/>
            <w:ind w:left="360"/>
            <w:tabs>
              <w:tab w:val="right" w:leader="dot" w:pos="9026"/>
            </w:tabs>
            <w:spacing w:before="120" w:after="60"/>
          </w:pPr>
          <w:hyperlink w:anchor="_Toc100043" w:history="1">
            <w:r>
              <w:rPr>
                <w:rStyle w:val="Hyperlink"/>
              </w:rPr>
              <w:t>Transition Reference</w:t>
            </w:r>
            <w:r>
              <w:tab/>
            </w:r>
            <w:r>
              <w:fldChar w:fldCharType="begin"/>
            </w:r>
            <w:r>
              <w:instrText xml:space="preserve"> PAGEREF _Toc100043 \h </w:instrText>
            </w:r>
            <w:r>
              <w:fldChar w:fldCharType="separate"/>
            </w:r>
            <w:r>
              <w:t>15</w:t>
            </w:r>
            <w:r>
              <w:fldChar w:fldCharType="end"/>
            </w:r>
          </w:hyperlink>
        </w:p>
        <w:p>
          <w:pPr>
            <w:pStyle w:val="11"/>
            <w:ind w:left="360"/>
            <w:tabs>
              <w:tab w:val="right" w:leader="dot" w:pos="9026"/>
            </w:tabs>
            <w:spacing w:before="120" w:after="60"/>
          </w:pPr>
          <w:hyperlink w:anchor="_Toc100044" w:history="1">
            <w:r>
              <w:rPr>
                <w:rStyle w:val="Hyperlink"/>
              </w:rPr>
              <w:t>FSM Invariants</w:t>
            </w:r>
            <w:r>
              <w:tab/>
            </w:r>
            <w:r>
              <w:fldChar w:fldCharType="begin"/>
            </w:r>
            <w:r>
              <w:instrText xml:space="preserve"> PAGEREF _Toc100044 \h </w:instrText>
            </w:r>
            <w:r>
              <w:fldChar w:fldCharType="separate"/>
            </w:r>
            <w:r>
              <w:t>15</w:t>
            </w:r>
            <w:r>
              <w:fldChar w:fldCharType="end"/>
            </w:r>
          </w:hyperlink>
        </w:p>
        <w:p>
          <w:pPr>
            <w:pStyle w:val="9"/>
            <w:tabs>
              <w:tab w:val="right" w:leader="dot" w:pos="9026"/>
            </w:tabs>
            <w:spacing w:before="120" w:after="60"/>
          </w:pPr>
          <w:hyperlink w:anchor="_Toc100045" w:history="1">
            <w:r>
              <w:rPr>
                <w:rStyle w:val="Hyperlink"/>
              </w:rPr>
              <w:t>Chapter 8 — Slippage Monitoring &amp; Execution Quality Scoring</w:t>
            </w:r>
            <w:r>
              <w:tab/>
            </w:r>
            <w:r>
              <w:fldChar w:fldCharType="begin"/>
            </w:r>
            <w:r>
              <w:instrText xml:space="preserve"> PAGEREF _Toc100045 \h </w:instrText>
            </w:r>
            <w:r>
              <w:fldChar w:fldCharType="separate"/>
            </w:r>
            <w:r>
              <w:t>16</w:t>
            </w:r>
            <w:r>
              <w:fldChar w:fldCharType="end"/>
            </w:r>
          </w:hyperlink>
        </w:p>
        <w:p>
          <w:pPr>
            <w:pStyle w:val="11"/>
            <w:ind w:left="360"/>
            <w:tabs>
              <w:tab w:val="right" w:leader="dot" w:pos="9026"/>
            </w:tabs>
            <w:spacing w:before="120" w:after="60"/>
          </w:pPr>
          <w:hyperlink w:anchor="_Toc100046" w:history="1">
            <w:r>
              <w:rPr>
                <w:rStyle w:val="Hyperlink"/>
              </w:rPr>
              <w:t>Slippage Monitor</w:t>
            </w:r>
            <w:r>
              <w:tab/>
            </w:r>
            <w:r>
              <w:fldChar w:fldCharType="begin"/>
            </w:r>
            <w:r>
              <w:instrText xml:space="preserve"> PAGEREF _Toc100046 \h </w:instrText>
            </w:r>
            <w:r>
              <w:fldChar w:fldCharType="separate"/>
            </w:r>
            <w:r>
              <w:t>17</w:t>
            </w:r>
            <w:r>
              <w:fldChar w:fldCharType="end"/>
            </w:r>
          </w:hyperlink>
        </w:p>
        <w:p>
          <w:pPr>
            <w:pStyle w:val="11"/>
            <w:ind w:left="360"/>
            <w:tabs>
              <w:tab w:val="right" w:leader="dot" w:pos="9026"/>
            </w:tabs>
            <w:spacing w:before="120" w:after="60"/>
          </w:pPr>
          <w:hyperlink w:anchor="_Toc100047" w:history="1">
            <w:r>
              <w:rPr>
                <w:rStyle w:val="Hyperlink"/>
              </w:rPr>
              <w:t>EQS — Seven-Factor Weighted Model</w:t>
            </w:r>
            <w:r>
              <w:tab/>
            </w:r>
            <w:r>
              <w:fldChar w:fldCharType="begin"/>
            </w:r>
            <w:r>
              <w:instrText xml:space="preserve"> PAGEREF _Toc100047 \h </w:instrText>
            </w:r>
            <w:r>
              <w:fldChar w:fldCharType="separate"/>
            </w:r>
            <w:r>
              <w:t>17</w:t>
            </w:r>
            <w:r>
              <w:fldChar w:fldCharType="end"/>
            </w:r>
          </w:hyperlink>
        </w:p>
        <w:p>
          <w:pPr>
            <w:pStyle w:val="11"/>
            <w:ind w:left="360"/>
            <w:tabs>
              <w:tab w:val="right" w:leader="dot" w:pos="9026"/>
            </w:tabs>
            <w:spacing w:before="120" w:after="60"/>
          </w:pPr>
          <w:hyperlink w:anchor="_Toc100048" w:history="1">
            <w:r>
              <w:rPr>
                <w:rStyle w:val="Hyperlink"/>
              </w:rPr>
              <w:t>EQS Score Bands</w:t>
            </w:r>
            <w:r>
              <w:tab/>
            </w:r>
            <w:r>
              <w:fldChar w:fldCharType="begin"/>
            </w:r>
            <w:r>
              <w:instrText xml:space="preserve"> PAGEREF _Toc100048 \h </w:instrText>
            </w:r>
            <w:r>
              <w:fldChar w:fldCharType="separate"/>
            </w:r>
            <w:r>
              <w:t>17</w:t>
            </w:r>
            <w:r>
              <w:fldChar w:fldCharType="end"/>
            </w:r>
          </w:hyperlink>
        </w:p>
        <w:p>
          <w:pPr>
            <w:pStyle w:val="11"/>
            <w:ind w:left="360"/>
            <w:tabs>
              <w:tab w:val="right" w:leader="dot" w:pos="9026"/>
            </w:tabs>
            <w:spacing w:before="120" w:after="60"/>
          </w:pPr>
          <w:hyperlink w:anchor="_Toc100049" w:history="1">
            <w:r>
              <w:rPr>
                <w:rStyle w:val="Hyperlink"/>
              </w:rPr>
              <w:t>EQS Feedback Loop</w:t>
            </w:r>
            <w:r>
              <w:tab/>
            </w:r>
            <w:r>
              <w:fldChar w:fldCharType="begin"/>
            </w:r>
            <w:r>
              <w:instrText xml:space="preserve"> PAGEREF _Toc100049 \h </w:instrText>
            </w:r>
            <w:r>
              <w:fldChar w:fldCharType="separate"/>
            </w:r>
            <w:r>
              <w:t>18</w:t>
            </w:r>
            <w:r>
              <w:fldChar w:fldCharType="end"/>
            </w:r>
          </w:hyperlink>
        </w:p>
        <w:p>
          <w:pPr>
            <w:pStyle w:val="11"/>
            <w:ind w:left="360"/>
            <w:tabs>
              <w:tab w:val="right" w:leader="dot" w:pos="9026"/>
            </w:tabs>
            <w:spacing w:before="120" w:after="60"/>
          </w:pPr>
          <w:hyperlink w:anchor="_Toc100050" w:history="1">
            <w:r>
              <w:rPr>
                <w:rStyle w:val="Hyperlink"/>
              </w:rPr>
              <w:t>TCA — Transaction Cost Analysis</w:t>
            </w:r>
            <w:r>
              <w:tab/>
            </w:r>
            <w:r>
              <w:fldChar w:fldCharType="begin"/>
            </w:r>
            <w:r>
              <w:instrText xml:space="preserve"> PAGEREF _Toc100050 \h </w:instrText>
            </w:r>
            <w:r>
              <w:fldChar w:fldCharType="separate"/>
            </w:r>
            <w:r>
              <w:t>18</w:t>
            </w:r>
            <w:r>
              <w:fldChar w:fldCharType="end"/>
            </w:r>
          </w:hyperlink>
        </w:p>
        <w:p>
          <w:pPr>
            <w:pStyle w:val="9"/>
            <w:tabs>
              <w:tab w:val="right" w:leader="dot" w:pos="9026"/>
            </w:tabs>
            <w:spacing w:before="120" w:after="60"/>
          </w:pPr>
          <w:hyperlink w:anchor="_Toc100051" w:history="1">
            <w:r>
              <w:rPr>
                <w:rStyle w:val="Hyperlink"/>
              </w:rPr>
              <w:t>Chapter 9 — Order Retry System</w:t>
            </w:r>
            <w:r>
              <w:tab/>
            </w:r>
            <w:r>
              <w:fldChar w:fldCharType="begin"/>
            </w:r>
            <w:r>
              <w:instrText xml:space="preserve"> PAGEREF _Toc100051 \h </w:instrText>
            </w:r>
            <w:r>
              <w:fldChar w:fldCharType="separate"/>
            </w:r>
            <w:r>
              <w:t>19</w:t>
            </w:r>
            <w:r>
              <w:fldChar w:fldCharType="end"/>
            </w:r>
          </w:hyperlink>
        </w:p>
        <w:p>
          <w:pPr>
            <w:pStyle w:val="11"/>
            <w:ind w:left="360"/>
            <w:tabs>
              <w:tab w:val="right" w:leader="dot" w:pos="9026"/>
            </w:tabs>
            <w:spacing w:before="120" w:after="60"/>
          </w:pPr>
          <w:hyperlink w:anchor="_Toc100052" w:history="1">
            <w:r>
              <w:rPr>
                <w:rStyle w:val="Hyperlink"/>
              </w:rPr>
              <w:t>Retry Strategy</w:t>
            </w:r>
            <w:r>
              <w:tab/>
            </w:r>
            <w:r>
              <w:fldChar w:fldCharType="begin"/>
            </w:r>
            <w:r>
              <w:instrText xml:space="preserve"> PAGEREF _Toc100052 \h </w:instrText>
            </w:r>
            <w:r>
              <w:fldChar w:fldCharType="separate"/>
            </w:r>
            <w:r>
              <w:t>19</w:t>
            </w:r>
            <w:r>
              <w:fldChar w:fldCharType="end"/>
            </w:r>
          </w:hyperlink>
        </w:p>
        <w:p>
          <w:pPr>
            <w:pStyle w:val="11"/>
            <w:ind w:left="360"/>
            <w:tabs>
              <w:tab w:val="right" w:leader="dot" w:pos="9026"/>
            </w:tabs>
            <w:spacing w:before="120" w:after="60"/>
          </w:pPr>
          <w:hyperlink w:anchor="_Toc100053" w:history="1">
            <w:r>
              <w:rPr>
                <w:rStyle w:val="Hyperlink"/>
              </w:rPr>
              <w:t>Backoff Schedule</w:t>
            </w:r>
            <w:r>
              <w:tab/>
            </w:r>
            <w:r>
              <w:fldChar w:fldCharType="begin"/>
            </w:r>
            <w:r>
              <w:instrText xml:space="preserve"> PAGEREF _Toc100053 \h </w:instrText>
            </w:r>
            <w:r>
              <w:fldChar w:fldCharType="separate"/>
            </w:r>
            <w:r>
              <w:t>19</w:t>
            </w:r>
            <w:r>
              <w:fldChar w:fldCharType="end"/>
            </w:r>
          </w:hyperlink>
        </w:p>
        <w:p>
          <w:pPr>
            <w:pStyle w:val="11"/>
            <w:ind w:left="360"/>
            <w:tabs>
              <w:tab w:val="right" w:leader="dot" w:pos="9026"/>
            </w:tabs>
            <w:spacing w:before="120" w:after="60"/>
          </w:pPr>
          <w:hyperlink w:anchor="_Toc100054" w:history="1">
            <w:r>
              <w:rPr>
                <w:rStyle w:val="Hyperlink"/>
              </w:rPr>
              <w:t>Retry Eligibility</w:t>
            </w:r>
            <w:r>
              <w:tab/>
            </w:r>
            <w:r>
              <w:fldChar w:fldCharType="begin"/>
            </w:r>
            <w:r>
              <w:instrText xml:space="preserve"> PAGEREF _Toc100054 \h </w:instrText>
            </w:r>
            <w:r>
              <w:fldChar w:fldCharType="separate"/>
            </w:r>
            <w:r>
              <w:t>19</w:t>
            </w:r>
            <w:r>
              <w:fldChar w:fldCharType="end"/>
            </w:r>
          </w:hyperlink>
        </w:p>
        <w:p>
          <w:pPr>
            <w:pStyle w:val="11"/>
            <w:ind w:left="360"/>
            <w:tabs>
              <w:tab w:val="right" w:leader="dot" w:pos="9026"/>
            </w:tabs>
            <w:spacing w:before="120" w:after="60"/>
          </w:pPr>
          <w:hyperlink w:anchor="_Toc100055" w:history="1">
            <w:r>
              <w:rPr>
                <w:rStyle w:val="Hyperlink"/>
              </w:rPr>
              <w:t>Retry Mechanics</w:t>
            </w:r>
            <w:r>
              <w:tab/>
            </w:r>
            <w:r>
              <w:fldChar w:fldCharType="begin"/>
            </w:r>
            <w:r>
              <w:instrText xml:space="preserve"> PAGEREF _Toc100055 \h </w:instrText>
            </w:r>
            <w:r>
              <w:fldChar w:fldCharType="separate"/>
            </w:r>
            <w:r>
              <w:t>20</w:t>
            </w:r>
            <w:r>
              <w:fldChar w:fldCharType="end"/>
            </w:r>
          </w:hyperlink>
        </w:p>
        <w:p>
          <w:pPr>
            <w:pStyle w:val="11"/>
            <w:ind w:left="360"/>
            <w:tabs>
              <w:tab w:val="right" w:leader="dot" w:pos="9026"/>
            </w:tabs>
            <w:spacing w:before="120" w:after="60"/>
          </w:pPr>
          <w:hyperlink w:anchor="_Toc100056" w:history="1">
            <w:r>
              <w:rPr>
                <w:rStyle w:val="Hyperlink"/>
              </w:rPr>
              <w:t>Jitter Rationale</w:t>
            </w:r>
            <w:r>
              <w:tab/>
            </w:r>
            <w:r>
              <w:fldChar w:fldCharType="begin"/>
            </w:r>
            <w:r>
              <w:instrText xml:space="preserve"> PAGEREF _Toc100056 \h </w:instrText>
            </w:r>
            <w:r>
              <w:fldChar w:fldCharType="separate"/>
            </w:r>
            <w:r>
              <w:t>20</w:t>
            </w:r>
            <w:r>
              <w:fldChar w:fldCharType="end"/>
            </w:r>
          </w:hyperlink>
        </w:p>
        <w:p>
          <w:pPr>
            <w:pStyle w:val="9"/>
            <w:tabs>
              <w:tab w:val="right" w:leader="dot" w:pos="9026"/>
            </w:tabs>
            <w:spacing w:before="120" w:after="60"/>
          </w:pPr>
          <w:hyperlink w:anchor="_Toc100057" w:history="1">
            <w:r>
              <w:rPr>
                <w:rStyle w:val="Hyperlink"/>
              </w:rPr>
              <w:t>Chapter 10 — Partial Fills Handling</w:t>
            </w:r>
            <w:r>
              <w:tab/>
            </w:r>
            <w:r>
              <w:fldChar w:fldCharType="begin"/>
            </w:r>
            <w:r>
              <w:instrText xml:space="preserve"> PAGEREF _Toc100057 \h </w:instrText>
            </w:r>
            <w:r>
              <w:fldChar w:fldCharType="separate"/>
            </w:r>
            <w:r>
              <w:t>21</w:t>
            </w:r>
            <w:r>
              <w:fldChar w:fldCharType="end"/>
            </w:r>
          </w:hyperlink>
        </w:p>
        <w:p>
          <w:pPr>
            <w:pStyle w:val="11"/>
            <w:ind w:left="360"/>
            <w:tabs>
              <w:tab w:val="right" w:leader="dot" w:pos="9026"/>
            </w:tabs>
            <w:spacing w:before="120" w:after="60"/>
          </w:pPr>
          <w:hyperlink w:anchor="_Toc100058" w:history="1">
            <w:r>
              <w:rPr>
                <w:rStyle w:val="Hyperlink"/>
              </w:rPr>
              <w:t>Residual Quantity Tracking</w:t>
            </w:r>
            <w:r>
              <w:tab/>
            </w:r>
            <w:r>
              <w:fldChar w:fldCharType="begin"/>
            </w:r>
            <w:r>
              <w:instrText xml:space="preserve"> PAGEREF _Toc100058 \h </w:instrText>
            </w:r>
            <w:r>
              <w:fldChar w:fldCharType="separate"/>
            </w:r>
            <w:r>
              <w:t>21</w:t>
            </w:r>
            <w:r>
              <w:fldChar w:fldCharType="end"/>
            </w:r>
          </w:hyperlink>
        </w:p>
        <w:p>
          <w:pPr>
            <w:pStyle w:val="11"/>
            <w:ind w:left="360"/>
            <w:tabs>
              <w:tab w:val="right" w:leader="dot" w:pos="9026"/>
            </w:tabs>
            <w:spacing w:before="120" w:after="60"/>
          </w:pPr>
          <w:hyperlink w:anchor="_Toc100059" w:history="1">
            <w:r>
              <w:rPr>
                <w:rStyle w:val="Hyperlink"/>
              </w:rPr>
              <w:t>Residual Policies</w:t>
            </w:r>
            <w:r>
              <w:tab/>
            </w:r>
            <w:r>
              <w:fldChar w:fldCharType="begin"/>
            </w:r>
            <w:r>
              <w:instrText xml:space="preserve"> PAGEREF _Toc100059 \h </w:instrText>
            </w:r>
            <w:r>
              <w:fldChar w:fldCharType="separate"/>
            </w:r>
            <w:r>
              <w:t>21</w:t>
            </w:r>
            <w:r>
              <w:fldChar w:fldCharType="end"/>
            </w:r>
          </w:hyperlink>
        </w:p>
        <w:p>
          <w:pPr>
            <w:pStyle w:val="11"/>
            <w:ind w:left="360"/>
            <w:tabs>
              <w:tab w:val="right" w:leader="dot" w:pos="9026"/>
            </w:tabs>
            <w:spacing w:before="120" w:after="60"/>
          </w:pPr>
          <w:hyperlink w:anchor="_Toc100060" w:history="1">
            <w:r>
              <w:rPr>
                <w:rStyle w:val="Hyperlink"/>
              </w:rPr>
              <w:t>Multiple Partial Fills</w:t>
            </w:r>
            <w:r>
              <w:tab/>
            </w:r>
            <w:r>
              <w:fldChar w:fldCharType="begin"/>
            </w:r>
            <w:r>
              <w:instrText xml:space="preserve"> PAGEREF _Toc100060 \h </w:instrText>
            </w:r>
            <w:r>
              <w:fldChar w:fldCharType="separate"/>
            </w:r>
            <w:r>
              <w:t>22</w:t>
            </w:r>
            <w:r>
              <w:fldChar w:fldCharType="end"/>
            </w:r>
          </w:hyperlink>
        </w:p>
        <w:p>
          <w:pPr>
            <w:pStyle w:val="11"/>
            <w:ind w:left="360"/>
            <w:tabs>
              <w:tab w:val="right" w:leader="dot" w:pos="9026"/>
            </w:tabs>
            <w:spacing w:before="120" w:after="60"/>
          </w:pPr>
          <w:hyperlink w:anchor="_Toc100061" w:history="1">
            <w:r>
              <w:rPr>
                <w:rStyle w:val="Hyperlink"/>
              </w:rPr>
              <w:t>Partial Fill Audit</w:t>
            </w:r>
            <w:r>
              <w:tab/>
            </w:r>
            <w:r>
              <w:fldChar w:fldCharType="begin"/>
            </w:r>
            <w:r>
              <w:instrText xml:space="preserve"> PAGEREF _Toc100061 \h </w:instrText>
            </w:r>
            <w:r>
              <w:fldChar w:fldCharType="separate"/>
            </w:r>
            <w:r>
              <w:t>22</w:t>
            </w:r>
            <w:r>
              <w:fldChar w:fldCharType="end"/>
            </w:r>
          </w:hyperlink>
        </w:p>
        <w:p>
          <w:pPr>
            <w:pStyle w:val="9"/>
            <w:tabs>
              <w:tab w:val="right" w:leader="dot" w:pos="9026"/>
            </w:tabs>
            <w:spacing w:before="120" w:after="60"/>
          </w:pPr>
          <w:hyperlink w:anchor="_Toc100062" w:history="1">
            <w:r>
              <w:rPr>
                <w:rStyle w:val="Hyperlink"/>
              </w:rPr>
              <w:t>Chapter 11 — Broker Rejection Handling</w:t>
            </w:r>
            <w:r>
              <w:tab/>
            </w:r>
            <w:r>
              <w:fldChar w:fldCharType="begin"/>
            </w:r>
            <w:r>
              <w:instrText xml:space="preserve"> PAGEREF _Toc100062 \h </w:instrText>
            </w:r>
            <w:r>
              <w:fldChar w:fldCharType="separate"/>
            </w:r>
            <w:r>
              <w:t>22</w:t>
            </w:r>
            <w:r>
              <w:fldChar w:fldCharType="end"/>
            </w:r>
          </w:hyperlink>
        </w:p>
        <w:p>
          <w:pPr>
            <w:pStyle w:val="11"/>
            <w:ind w:left="360"/>
            <w:tabs>
              <w:tab w:val="right" w:leader="dot" w:pos="9026"/>
            </w:tabs>
            <w:spacing w:before="120" w:after="60"/>
          </w:pPr>
          <w:hyperlink w:anchor="_Toc100063" w:history="1">
            <w:r>
              <w:rPr>
                <w:rStyle w:val="Hyperlink"/>
              </w:rPr>
              <w:t>MT5 Return Code Mapping</w:t>
            </w:r>
            <w:r>
              <w:tab/>
            </w:r>
            <w:r>
              <w:fldChar w:fldCharType="begin"/>
            </w:r>
            <w:r>
              <w:instrText xml:space="preserve"> PAGEREF _Toc100063 \h </w:instrText>
            </w:r>
            <w:r>
              <w:fldChar w:fldCharType="separate"/>
            </w:r>
            <w:r>
              <w:t>23</w:t>
            </w:r>
            <w:r>
              <w:fldChar w:fldCharType="end"/>
            </w:r>
          </w:hyperlink>
        </w:p>
        <w:p>
          <w:pPr>
            <w:pStyle w:val="11"/>
            <w:ind w:left="360"/>
            <w:tabs>
              <w:tab w:val="right" w:leader="dot" w:pos="9026"/>
            </w:tabs>
            <w:spacing w:before="120" w:after="60"/>
          </w:pPr>
          <w:hyperlink w:anchor="_Toc100064" w:history="1">
            <w:r>
              <w:rPr>
                <w:rStyle w:val="Hyperlink"/>
              </w:rPr>
              <w:t>FATAL Rejection Handling</w:t>
            </w:r>
            <w:r>
              <w:tab/>
            </w:r>
            <w:r>
              <w:fldChar w:fldCharType="begin"/>
            </w:r>
            <w:r>
              <w:instrText xml:space="preserve"> PAGEREF _Toc100064 \h </w:instrText>
            </w:r>
            <w:r>
              <w:fldChar w:fldCharType="separate"/>
            </w:r>
            <w:r>
              <w:t>23</w:t>
            </w:r>
            <w:r>
              <w:fldChar w:fldCharType="end"/>
            </w:r>
          </w:hyperlink>
        </w:p>
        <w:p>
          <w:pPr>
            <w:pStyle w:val="11"/>
            <w:ind w:left="360"/>
            <w:tabs>
              <w:tab w:val="right" w:leader="dot" w:pos="9026"/>
            </w:tabs>
            <w:spacing w:before="120" w:after="60"/>
          </w:pPr>
          <w:hyperlink w:anchor="_Toc100065" w:history="1">
            <w:r>
              <w:rPr>
                <w:rStyle w:val="Hyperlink"/>
              </w:rPr>
              <w:t>Rejection Rate Monitoring</w:t>
            </w:r>
            <w:r>
              <w:tab/>
            </w:r>
            <w:r>
              <w:fldChar w:fldCharType="begin"/>
            </w:r>
            <w:r>
              <w:instrText xml:space="preserve"> PAGEREF _Toc100065 \h </w:instrText>
            </w:r>
            <w:r>
              <w:fldChar w:fldCharType="separate"/>
            </w:r>
            <w:r>
              <w:t>23</w:t>
            </w:r>
            <w:r>
              <w:fldChar w:fldCharType="end"/>
            </w:r>
          </w:hyperlink>
        </w:p>
        <w:p>
          <w:pPr>
            <w:pStyle w:val="9"/>
            <w:tabs>
              <w:tab w:val="right" w:leader="dot" w:pos="9026"/>
            </w:tabs>
            <w:spacing w:before="120" w:after="60"/>
          </w:pPr>
          <w:hyperlink w:anchor="_Toc100066" w:history="1">
            <w:r>
              <w:rPr>
                <w:rStyle w:val="Hyperlink"/>
              </w:rPr>
              <w:t>Chapter 12 — Error Recovery — Reconciliation &amp; State Repair</w:t>
            </w:r>
            <w:r>
              <w:tab/>
            </w:r>
            <w:r>
              <w:fldChar w:fldCharType="begin"/>
            </w:r>
            <w:r>
              <w:instrText xml:space="preserve"> PAGEREF _Toc100066 \h </w:instrText>
            </w:r>
            <w:r>
              <w:fldChar w:fldCharType="separate"/>
            </w:r>
            <w:r>
              <w:t>23</w:t>
            </w:r>
            <w:r>
              <w:fldChar w:fldCharType="end"/>
            </w:r>
          </w:hyperlink>
        </w:p>
        <w:p>
          <w:pPr>
            <w:pStyle w:val="11"/>
            <w:ind w:left="360"/>
            <w:tabs>
              <w:tab w:val="right" w:leader="dot" w:pos="9026"/>
            </w:tabs>
            <w:spacing w:before="120" w:after="60"/>
          </w:pPr>
          <w:hyperlink w:anchor="_Toc100067" w:history="1">
            <w:r>
              <w:rPr>
                <w:rStyle w:val="Hyperlink"/>
              </w:rPr>
              <w:t>Reconciliation Engine</w:t>
            </w:r>
            <w:r>
              <w:tab/>
            </w:r>
            <w:r>
              <w:fldChar w:fldCharType="begin"/>
            </w:r>
            <w:r>
              <w:instrText xml:space="preserve"> PAGEREF _Toc100067 \h </w:instrText>
            </w:r>
            <w:r>
              <w:fldChar w:fldCharType="separate"/>
            </w:r>
            <w:r>
              <w:t>24</w:t>
            </w:r>
            <w:r>
              <w:fldChar w:fldCharType="end"/>
            </w:r>
          </w:hyperlink>
        </w:p>
        <w:p>
          <w:pPr>
            <w:pStyle w:val="12"/>
            <w:ind w:left="720"/>
            <w:tabs>
              <w:tab w:val="right" w:leader="dot" w:pos="9026"/>
            </w:tabs>
            <w:spacing w:before="120" w:after="60"/>
          </w:pPr>
          <w:hyperlink w:anchor="_Toc100068" w:history="1">
            <w:r>
              <w:rPr>
                <w:rStyle w:val="Hyperlink"/>
              </w:rPr>
              <w:t>Orphan Resolution</w:t>
            </w:r>
            <w:r>
              <w:tab/>
            </w:r>
            <w:r>
              <w:fldChar w:fldCharType="begin"/>
            </w:r>
            <w:r>
              <w:instrText xml:space="preserve"> PAGEREF _Toc100068 \h </w:instrText>
            </w:r>
            <w:r>
              <w:fldChar w:fldCharType="separate"/>
            </w:r>
            <w:r>
              <w:t>24</w:t>
            </w:r>
            <w:r>
              <w:fldChar w:fldCharType="end"/>
            </w:r>
          </w:hyperlink>
        </w:p>
        <w:p>
          <w:pPr>
            <w:pStyle w:val="12"/>
            <w:ind w:left="720"/>
            <w:tabs>
              <w:tab w:val="right" w:leader="dot" w:pos="9026"/>
            </w:tabs>
            <w:spacing w:before="120" w:after="60"/>
          </w:pPr>
          <w:hyperlink w:anchor="_Toc100069" w:history="1">
            <w:r>
              <w:rPr>
                <w:rStyle w:val="Hyperlink"/>
              </w:rPr>
              <w:t>Phantom Resolution</w:t>
            </w:r>
            <w:r>
              <w:tab/>
            </w:r>
            <w:r>
              <w:fldChar w:fldCharType="begin"/>
            </w:r>
            <w:r>
              <w:instrText xml:space="preserve"> PAGEREF _Toc100069 \h </w:instrText>
            </w:r>
            <w:r>
              <w:fldChar w:fldCharType="separate"/>
            </w:r>
            <w:r>
              <w:t>24</w:t>
            </w:r>
            <w:r>
              <w:fldChar w:fldCharType="end"/>
            </w:r>
          </w:hyperlink>
        </w:p>
        <w:p>
          <w:pPr>
            <w:pStyle w:val="11"/>
            <w:ind w:left="360"/>
            <w:tabs>
              <w:tab w:val="right" w:leader="dot" w:pos="9026"/>
            </w:tabs>
            <w:spacing w:before="120" w:after="60"/>
          </w:pPr>
          <w:hyperlink w:anchor="_Toc100070" w:history="1">
            <w:r>
              <w:rPr>
                <w:rStyle w:val="Hyperlink"/>
              </w:rPr>
              <w:t>State Recovery After Restart</w:t>
            </w:r>
            <w:r>
              <w:tab/>
            </w:r>
            <w:r>
              <w:fldChar w:fldCharType="begin"/>
            </w:r>
            <w:r>
              <w:instrText xml:space="preserve"> PAGEREF _Toc100070 \h </w:instrText>
            </w:r>
            <w:r>
              <w:fldChar w:fldCharType="separate"/>
            </w:r>
            <w:r>
              <w:t>25</w:t>
            </w:r>
            <w:r>
              <w:fldChar w:fldCharType="end"/>
            </w:r>
          </w:hyperlink>
        </w:p>
        <w:p>
          <w:pPr>
            <w:pStyle w:val="11"/>
            <w:ind w:left="360"/>
            <w:tabs>
              <w:tab w:val="right" w:leader="dot" w:pos="9026"/>
            </w:tabs>
            <w:spacing w:before="120" w:after="60"/>
          </w:pPr>
          <w:hyperlink w:anchor="_Toc100071" w:history="1">
            <w:r>
              <w:rPr>
                <w:rStyle w:val="Hyperlink"/>
              </w:rPr>
              <w:t>Error Code Reference</w:t>
            </w:r>
            <w:r>
              <w:tab/>
            </w:r>
            <w:r>
              <w:fldChar w:fldCharType="begin"/>
            </w:r>
            <w:r>
              <w:instrText xml:space="preserve"> PAGEREF _Toc100071 \h </w:instrText>
            </w:r>
            <w:r>
              <w:fldChar w:fldCharType="separate"/>
            </w:r>
            <w:r>
              <w:t>25</w:t>
            </w:r>
            <w:r>
              <w:fldChar w:fldCharType="end"/>
            </w:r>
          </w:hyperlink>
        </w:p>
        <w:p>
          <w:pPr>
            <w:pStyle w:val="9"/>
            <w:tabs>
              <w:tab w:val="right" w:leader="dot" w:pos="9026"/>
            </w:tabs>
            <w:spacing w:before="120" w:after="60"/>
          </w:pPr>
          <w:hyperlink w:anchor="_Toc100072" w:history="1">
            <w:r>
              <w:rPr>
                <w:rStyle w:val="Hyperlink"/>
              </w:rPr>
              <w:t>Chapter 13 — Performance Benchmarks</w:t>
            </w:r>
            <w:r>
              <w:tab/>
            </w:r>
            <w:r>
              <w:fldChar w:fldCharType="begin"/>
            </w:r>
            <w:r>
              <w:instrText xml:space="preserve"> PAGEREF _Toc100072 \h </w:instrText>
            </w:r>
            <w:r>
              <w:fldChar w:fldCharType="separate"/>
            </w:r>
            <w:r>
              <w:t>25</w:t>
            </w:r>
            <w:r>
              <w:fldChar w:fldCharType="end"/>
            </w:r>
          </w:hyperlink>
        </w:p>
        <w:p>
          <w:pPr>
            <w:pStyle w:val="11"/>
            <w:ind w:left="360"/>
            <w:tabs>
              <w:tab w:val="right" w:leader="dot" w:pos="9026"/>
            </w:tabs>
            <w:spacing w:before="120" w:after="60"/>
          </w:pPr>
          <w:hyperlink w:anchor="_Toc100073" w:history="1">
            <w:r>
              <w:rPr>
                <w:rStyle w:val="Hyperlink"/>
              </w:rPr>
              <w:t>Latency Budget</w:t>
            </w:r>
            <w:r>
              <w:tab/>
            </w:r>
            <w:r>
              <w:fldChar w:fldCharType="begin"/>
            </w:r>
            <w:r>
              <w:instrText xml:space="preserve"> PAGEREF _Toc100073 \h </w:instrText>
            </w:r>
            <w:r>
              <w:fldChar w:fldCharType="separate"/>
            </w:r>
            <w:r>
              <w:t>26</w:t>
            </w:r>
            <w:r>
              <w:fldChar w:fldCharType="end"/>
            </w:r>
          </w:hyperlink>
        </w:p>
        <w:p>
          <w:pPr>
            <w:pStyle w:val="11"/>
            <w:ind w:left="360"/>
            <w:tabs>
              <w:tab w:val="right" w:leader="dot" w:pos="9026"/>
            </w:tabs>
            <w:spacing w:before="120" w:after="60"/>
          </w:pPr>
          <w:hyperlink w:anchor="_Toc100074" w:history="1">
            <w:r>
              <w:rPr>
                <w:rStyle w:val="Hyperlink"/>
              </w:rPr>
              <w:t>Throughput Targets</w:t>
            </w:r>
            <w:r>
              <w:tab/>
            </w:r>
            <w:r>
              <w:fldChar w:fldCharType="begin"/>
            </w:r>
            <w:r>
              <w:instrText xml:space="preserve"> PAGEREF _Toc100074 \h </w:instrText>
            </w:r>
            <w:r>
              <w:fldChar w:fldCharType="separate"/>
            </w:r>
            <w:r>
              <w:t>26</w:t>
            </w:r>
            <w:r>
              <w:fldChar w:fldCharType="end"/>
            </w:r>
          </w:hyperlink>
        </w:p>
        <w:p>
          <w:pPr>
            <w:pStyle w:val="11"/>
            <w:ind w:left="360"/>
            <w:tabs>
              <w:tab w:val="right" w:leader="dot" w:pos="9026"/>
            </w:tabs>
            <w:spacing w:before="120" w:after="60"/>
          </w:pPr>
          <w:hyperlink w:anchor="_Toc100075" w:history="1">
            <w:r>
              <w:rPr>
                <w:rStyle w:val="Hyperlink"/>
              </w:rPr>
              <w:t>Resource Envelope</w:t>
            </w:r>
            <w:r>
              <w:tab/>
            </w:r>
            <w:r>
              <w:fldChar w:fldCharType="begin"/>
            </w:r>
            <w:r>
              <w:instrText xml:space="preserve"> PAGEREF _Toc100075 \h </w:instrText>
            </w:r>
            <w:r>
              <w:fldChar w:fldCharType="separate"/>
            </w:r>
            <w:r>
              <w:t>26</w:t>
            </w:r>
            <w:r>
              <w:fldChar w:fldCharType="end"/>
            </w:r>
          </w:hyperlink>
        </w:p>
        <w:p>
          <w:pPr>
            <w:pStyle w:val="11"/>
            <w:ind w:left="360"/>
            <w:tabs>
              <w:tab w:val="right" w:leader="dot" w:pos="9026"/>
            </w:tabs>
            <w:spacing w:before="120" w:after="60"/>
          </w:pPr>
          <w:hyperlink w:anchor="_Toc100076" w:history="1">
            <w:r>
              <w:rPr>
                <w:rStyle w:val="Hyperlink"/>
              </w:rPr>
              <w:t>Performance Engineering Techniques</w:t>
            </w:r>
            <w:r>
              <w:tab/>
            </w:r>
            <w:r>
              <w:fldChar w:fldCharType="begin"/>
            </w:r>
            <w:r>
              <w:instrText xml:space="preserve"> PAGEREF _Toc100076 \h </w:instrText>
            </w:r>
            <w:r>
              <w:fldChar w:fldCharType="separate"/>
            </w:r>
            <w:r>
              <w:t>27</w:t>
            </w:r>
            <w:r>
              <w:fldChar w:fldCharType="end"/>
            </w:r>
          </w:hyperlink>
        </w:p>
        <w:p>
          <w:pPr>
            <w:pStyle w:val="12"/>
            <w:ind w:left="720"/>
            <w:tabs>
              <w:tab w:val="right" w:leader="dot" w:pos="9026"/>
            </w:tabs>
            <w:spacing w:before="120" w:after="60"/>
          </w:pPr>
          <w:hyperlink w:anchor="_Toc100077" w:history="1">
            <w:r>
              <w:rPr>
                <w:rStyle w:val="Hyperlink"/>
              </w:rPr>
              <w:t>CPU Pinning &amp; Isolation</w:t>
            </w:r>
            <w:r>
              <w:tab/>
            </w:r>
            <w:r>
              <w:fldChar w:fldCharType="begin"/>
            </w:r>
            <w:r>
              <w:instrText xml:space="preserve"> PAGEREF _Toc100077 \h </w:instrText>
            </w:r>
            <w:r>
              <w:fldChar w:fldCharType="separate"/>
            </w:r>
            <w:r>
              <w:t>27</w:t>
            </w:r>
            <w:r>
              <w:fldChar w:fldCharType="end"/>
            </w:r>
          </w:hyperlink>
        </w:p>
        <w:p>
          <w:pPr>
            <w:pStyle w:val="12"/>
            <w:ind w:left="720"/>
            <w:tabs>
              <w:tab w:val="right" w:leader="dot" w:pos="9026"/>
            </w:tabs>
            <w:spacing w:before="120" w:after="60"/>
          </w:pPr>
          <w:hyperlink w:anchor="_Toc100078" w:history="1">
            <w:r>
              <w:rPr>
                <w:rStyle w:val="Hyperlink"/>
              </w:rPr>
              <w:t>Lock-Free SPSC Queues</w:t>
            </w:r>
            <w:r>
              <w:tab/>
            </w:r>
            <w:r>
              <w:fldChar w:fldCharType="begin"/>
            </w:r>
            <w:r>
              <w:instrText xml:space="preserve"> PAGEREF _Toc100078 \h </w:instrText>
            </w:r>
            <w:r>
              <w:fldChar w:fldCharType="separate"/>
            </w:r>
            <w:r>
              <w:t>28</w:t>
            </w:r>
            <w:r>
              <w:fldChar w:fldCharType="end"/>
            </w:r>
          </w:hyperlink>
        </w:p>
        <w:p>
          <w:pPr>
            <w:pStyle w:val="12"/>
            <w:ind w:left="720"/>
            <w:tabs>
              <w:tab w:val="right" w:leader="dot" w:pos="9026"/>
            </w:tabs>
            <w:spacing w:before="120" w:after="60"/>
          </w:pPr>
          <w:hyperlink w:anchor="_Toc100079" w:history="1">
            <w:r>
              <w:rPr>
                <w:rStyle w:val="Hyperlink"/>
              </w:rPr>
              <w:t>Pre-Allocation &amp; Pool Allocation</w:t>
            </w:r>
            <w:r>
              <w:tab/>
            </w:r>
            <w:r>
              <w:fldChar w:fldCharType="begin"/>
            </w:r>
            <w:r>
              <w:instrText xml:space="preserve"> PAGEREF _Toc100079 \h </w:instrText>
            </w:r>
            <w:r>
              <w:fldChar w:fldCharType="separate"/>
            </w:r>
            <w:r>
              <w:t>28</w:t>
            </w:r>
            <w:r>
              <w:fldChar w:fldCharType="end"/>
            </w:r>
          </w:hyperlink>
        </w:p>
        <w:p>
          <w:pPr>
            <w:pStyle w:val="12"/>
            <w:ind w:left="720"/>
            <w:tabs>
              <w:tab w:val="right" w:leader="dot" w:pos="9026"/>
            </w:tabs>
            <w:spacing w:before="120" w:after="60"/>
          </w:pPr>
          <w:hyperlink w:anchor="_Toc100080" w:history="1">
            <w:r>
              <w:rPr>
                <w:rStyle w:val="Hyperlink"/>
              </w:rPr>
              <w:t>Branchless Hot Path</w:t>
            </w:r>
            <w:r>
              <w:tab/>
            </w:r>
            <w:r>
              <w:fldChar w:fldCharType="begin"/>
            </w:r>
            <w:r>
              <w:instrText xml:space="preserve"> PAGEREF _Toc100080 \h </w:instrText>
            </w:r>
            <w:r>
              <w:fldChar w:fldCharType="separate"/>
            </w:r>
            <w:r>
              <w:t>28</w:t>
            </w:r>
            <w:r>
              <w:fldChar w:fldCharType="end"/>
            </w:r>
          </w:hyperlink>
        </w:p>
        <w:p>
          <w:pPr>
            <w:pStyle w:val="9"/>
            <w:tabs>
              <w:tab w:val="right" w:leader="dot" w:pos="9026"/>
            </w:tabs>
            <w:spacing w:before="120" w:after="60"/>
          </w:pPr>
          <w:hyperlink w:anchor="_Toc100081" w:history="1">
            <w:r>
              <w:rPr>
                <w:rStyle w:val="Hyperlink"/>
              </w:rPr>
              <w:t>Chapter 14 — Validation Tests</w:t>
            </w:r>
            <w:r>
              <w:tab/>
            </w:r>
            <w:r>
              <w:fldChar w:fldCharType="begin"/>
            </w:r>
            <w:r>
              <w:instrText xml:space="preserve"> PAGEREF _Toc100081 \h </w:instrText>
            </w:r>
            <w:r>
              <w:fldChar w:fldCharType="separate"/>
            </w:r>
            <w:r>
              <w:t>28</w:t>
            </w:r>
            <w:r>
              <w:fldChar w:fldCharType="end"/>
            </w:r>
          </w:hyperlink>
        </w:p>
        <w:p>
          <w:pPr>
            <w:pStyle w:val="11"/>
            <w:ind w:left="360"/>
            <w:tabs>
              <w:tab w:val="right" w:leader="dot" w:pos="9026"/>
            </w:tabs>
            <w:spacing w:before="120" w:after="60"/>
          </w:pPr>
          <w:hyperlink w:anchor="_Toc100082" w:history="1">
            <w:r>
              <w:rPr>
                <w:rStyle w:val="Hyperlink"/>
              </w:rPr>
              <w:t>Unit Test Cases — Sample</w:t>
            </w:r>
            <w:r>
              <w:tab/>
            </w:r>
            <w:r>
              <w:fldChar w:fldCharType="begin"/>
            </w:r>
            <w:r>
              <w:instrText xml:space="preserve"> PAGEREF _Toc100082 \h </w:instrText>
            </w:r>
            <w:r>
              <w:fldChar w:fldCharType="separate"/>
            </w:r>
            <w:r>
              <w:t>29</w:t>
            </w:r>
            <w:r>
              <w:fldChar w:fldCharType="end"/>
            </w:r>
          </w:hyperlink>
        </w:p>
        <w:p>
          <w:pPr>
            <w:pStyle w:val="12"/>
            <w:ind w:left="720"/>
            <w:tabs>
              <w:tab w:val="right" w:leader="dot" w:pos="9026"/>
            </w:tabs>
            <w:spacing w:before="120" w:after="60"/>
          </w:pPr>
          <w:hyperlink w:anchor="_Toc100083" w:history="1">
            <w:r>
              <w:rPr>
                <w:rStyle w:val="Hyperlink"/>
              </w:rPr>
              <w:t>Sample Unit Tests — OrderManager FSM</w:t>
            </w:r>
            <w:r>
              <w:tab/>
            </w:r>
            <w:r>
              <w:fldChar w:fldCharType="begin"/>
            </w:r>
            <w:r>
              <w:instrText xml:space="preserve"> PAGEREF _Toc100083 \h </w:instrText>
            </w:r>
            <w:r>
              <w:fldChar w:fldCharType="separate"/>
            </w:r>
            <w:r>
              <w:t>29</w:t>
            </w:r>
            <w:r>
              <w:fldChar w:fldCharType="end"/>
            </w:r>
          </w:hyperlink>
        </w:p>
        <w:p>
          <w:pPr>
            <w:pStyle w:val="12"/>
            <w:ind w:left="720"/>
            <w:tabs>
              <w:tab w:val="right" w:leader="dot" w:pos="9026"/>
            </w:tabs>
            <w:spacing w:before="120" w:after="60"/>
          </w:pPr>
          <w:hyperlink w:anchor="_Toc100084" w:history="1">
            <w:r>
              <w:rPr>
                <w:rStyle w:val="Hyperlink"/>
              </w:rPr>
              <w:t>Sample Unit Tests — RetryManager</w:t>
            </w:r>
            <w:r>
              <w:tab/>
            </w:r>
            <w:r>
              <w:fldChar w:fldCharType="begin"/>
            </w:r>
            <w:r>
              <w:instrText xml:space="preserve"> PAGEREF _Toc100084 \h </w:instrText>
            </w:r>
            <w:r>
              <w:fldChar w:fldCharType="separate"/>
            </w:r>
            <w:r>
              <w:t>29</w:t>
            </w:r>
            <w:r>
              <w:fldChar w:fldCharType="end"/>
            </w:r>
          </w:hyperlink>
        </w:p>
        <w:p>
          <w:pPr>
            <w:pStyle w:val="11"/>
            <w:ind w:left="360"/>
            <w:tabs>
              <w:tab w:val="right" w:leader="dot" w:pos="9026"/>
            </w:tabs>
            <w:spacing w:before="120" w:after="60"/>
          </w:pPr>
          <w:hyperlink w:anchor="_Toc100085" w:history="1">
            <w:r>
              <w:rPr>
                <w:rStyle w:val="Hyperlink"/>
              </w:rPr>
              <w:t>Performance Test Cases</w:t>
            </w:r>
            <w:r>
              <w:tab/>
            </w:r>
            <w:r>
              <w:fldChar w:fldCharType="begin"/>
            </w:r>
            <w:r>
              <w:instrText xml:space="preserve"> PAGEREF _Toc100085 \h </w:instrText>
            </w:r>
            <w:r>
              <w:fldChar w:fldCharType="separate"/>
            </w:r>
            <w:r>
              <w:t>30</w:t>
            </w:r>
            <w:r>
              <w:fldChar w:fldCharType="end"/>
            </w:r>
          </w:hyperlink>
        </w:p>
        <w:p>
          <w:pPr>
            <w:pStyle w:val="11"/>
            <w:ind w:left="360"/>
            <w:tabs>
              <w:tab w:val="right" w:leader="dot" w:pos="9026"/>
            </w:tabs>
            <w:spacing w:before="120" w:after="60"/>
          </w:pPr>
          <w:hyperlink w:anchor="_Toc100086" w:history="1">
            <w:r>
              <w:rPr>
                <w:rStyle w:val="Hyperlink"/>
              </w:rPr>
              <w:t>Chaos Test Cases</w:t>
            </w:r>
            <w:r>
              <w:tab/>
            </w:r>
            <w:r>
              <w:fldChar w:fldCharType="begin"/>
            </w:r>
            <w:r>
              <w:instrText xml:space="preserve"> PAGEREF _Toc100086 \h </w:instrText>
            </w:r>
            <w:r>
              <w:fldChar w:fldCharType="separate"/>
            </w:r>
            <w:r>
              <w:t>30</w:t>
            </w:r>
            <w:r>
              <w:fldChar w:fldCharType="end"/>
            </w:r>
          </w:hyperlink>
        </w:p>
        <w:p>
          <w:pPr>
            <w:pStyle w:val="11"/>
            <w:ind w:left="360"/>
            <w:tabs>
              <w:tab w:val="right" w:leader="dot" w:pos="9026"/>
            </w:tabs>
            <w:spacing w:before="120" w:after="60"/>
          </w:pPr>
          <w:hyperlink w:anchor="_Toc100087" w:history="1">
            <w:r>
              <w:rPr>
                <w:rStyle w:val="Hyperlink"/>
              </w:rPr>
              <w:t>Test Coverage Summary</w:t>
            </w:r>
            <w:r>
              <w:tab/>
            </w:r>
            <w:r>
              <w:fldChar w:fldCharType="begin"/>
            </w:r>
            <w:r>
              <w:instrText xml:space="preserve"> PAGEREF _Toc100087 \h </w:instrText>
            </w:r>
            <w:r>
              <w:fldChar w:fldCharType="separate"/>
            </w:r>
            <w:r>
              <w:t>30</w:t>
            </w:r>
            <w:r>
              <w:fldChar w:fldCharType="end"/>
            </w:r>
          </w:hyperlink>
        </w:p>
        <w:p>
          <w:pPr>
            <w:pStyle w:val="9"/>
            <w:tabs>
              <w:tab w:val="right" w:leader="dot" w:pos="9026"/>
            </w:tabs>
            <w:spacing w:before="120" w:after="60"/>
          </w:pPr>
          <w:hyperlink w:anchor="_Toc100088" w:history="1">
            <w:r>
              <w:rPr>
                <w:rStyle w:val="Hyperlink"/>
              </w:rPr>
              <w:t>Appendix A — Order State Machine Reference</w:t>
            </w:r>
            <w:r>
              <w:tab/>
            </w:r>
            <w:r>
              <w:fldChar w:fldCharType="begin"/>
            </w:r>
            <w:r>
              <w:instrText xml:space="preserve"> PAGEREF _Toc100088 \h </w:instrText>
            </w:r>
            <w:r>
              <w:fldChar w:fldCharType="separate"/>
            </w:r>
            <w:r>
              <w:t>31</w:t>
            </w:r>
            <w:r>
              <w:fldChar w:fldCharType="end"/>
            </w:r>
          </w:hyperlink>
        </w:p>
        <w:p>
          <w:pPr>
            <w:pStyle w:val="11"/>
            <w:ind w:left="360"/>
            <w:tabs>
              <w:tab w:val="right" w:leader="dot" w:pos="9026"/>
            </w:tabs>
            <w:spacing w:before="120" w:after="60"/>
          </w:pPr>
          <w:hyperlink w:anchor="_Toc100089" w:history="1">
            <w:r>
              <w:rPr>
                <w:rStyle w:val="Hyperlink"/>
              </w:rPr>
              <w:t>A.1 State Reference</w:t>
            </w:r>
            <w:r>
              <w:tab/>
            </w:r>
            <w:r>
              <w:fldChar w:fldCharType="begin"/>
            </w:r>
            <w:r>
              <w:instrText xml:space="preserve"> PAGEREF _Toc100089 \h </w:instrText>
            </w:r>
            <w:r>
              <w:fldChar w:fldCharType="separate"/>
            </w:r>
            <w:r>
              <w:t>31</w:t>
            </w:r>
            <w:r>
              <w:fldChar w:fldCharType="end"/>
            </w:r>
          </w:hyperlink>
        </w:p>
        <w:p>
          <w:pPr>
            <w:pStyle w:val="11"/>
            <w:ind w:left="360"/>
            <w:tabs>
              <w:tab w:val="right" w:leader="dot" w:pos="9026"/>
            </w:tabs>
            <w:spacing w:before="120" w:after="60"/>
          </w:pPr>
          <w:hyperlink w:anchor="_Toc100090" w:history="1">
            <w:r>
              <w:rPr>
                <w:rStyle w:val="Hyperlink"/>
              </w:rPr>
              <w:t>A.2 Transition Reference</w:t>
            </w:r>
            <w:r>
              <w:tab/>
            </w:r>
            <w:r>
              <w:fldChar w:fldCharType="begin"/>
            </w:r>
            <w:r>
              <w:instrText xml:space="preserve"> PAGEREF _Toc100090 \h </w:instrText>
            </w:r>
            <w:r>
              <w:fldChar w:fldCharType="separate"/>
            </w:r>
            <w:r>
              <w:t>31</w:t>
            </w:r>
            <w:r>
              <w:fldChar w:fldCharType="end"/>
            </w:r>
          </w:hyperlink>
        </w:p>
        <w:p>
          <w:pPr>
            <w:pStyle w:val="9"/>
            <w:tabs>
              <w:tab w:val="right" w:leader="dot" w:pos="9026"/>
            </w:tabs>
            <w:spacing w:before="120" w:after="60"/>
          </w:pPr>
          <w:hyperlink w:anchor="_Toc100091" w:history="1">
            <w:r>
              <w:rPr>
                <w:rStyle w:val="Hyperlink"/>
              </w:rPr>
              <w:t>Appendix B — Sample Execution Logs</w:t>
            </w:r>
            <w:r>
              <w:tab/>
            </w:r>
            <w:r>
              <w:fldChar w:fldCharType="begin"/>
            </w:r>
            <w:r>
              <w:instrText xml:space="preserve"> PAGEREF _Toc100091 \h </w:instrText>
            </w:r>
            <w:r>
              <w:fldChar w:fldCharType="separate"/>
            </w:r>
            <w:r>
              <w:t>32</w:t>
            </w:r>
            <w:r>
              <w:fldChar w:fldCharType="end"/>
            </w:r>
          </w:hyperlink>
        </w:p>
        <w:p>
          <w:pPr>
            <w:pStyle w:val="11"/>
            <w:ind w:left="360"/>
            <w:tabs>
              <w:tab w:val="right" w:leader="dot" w:pos="9026"/>
            </w:tabs>
            <w:spacing w:before="120" w:after="60"/>
          </w:pPr>
          <w:hyperlink w:anchor="_Toc100092" w:history="1">
            <w:r>
              <w:rPr>
                <w:rStyle w:val="Hyperlink"/>
              </w:rPr>
              <w:t>B.1 Successful Market Order</w:t>
            </w:r>
            <w:r>
              <w:tab/>
            </w:r>
            <w:r>
              <w:fldChar w:fldCharType="begin"/>
            </w:r>
            <w:r>
              <w:instrText xml:space="preserve"> PAGEREF _Toc100092 \h </w:instrText>
            </w:r>
            <w:r>
              <w:fldChar w:fldCharType="separate"/>
            </w:r>
            <w:r>
              <w:t>32</w:t>
            </w:r>
            <w:r>
              <w:fldChar w:fldCharType="end"/>
            </w:r>
          </w:hyperlink>
        </w:p>
        <w:p>
          <w:pPr>
            <w:pStyle w:val="11"/>
            <w:ind w:left="360"/>
            <w:tabs>
              <w:tab w:val="right" w:leader="dot" w:pos="9026"/>
            </w:tabs>
            <w:spacing w:before="120" w:after="60"/>
          </w:pPr>
          <w:hyperlink w:anchor="_Toc100093" w:history="1">
            <w:r>
              <w:rPr>
                <w:rStyle w:val="Hyperlink"/>
              </w:rPr>
              <w:t>B.2 Partial Fill with Residual Re-Route</w:t>
            </w:r>
            <w:r>
              <w:tab/>
            </w:r>
            <w:r>
              <w:fldChar w:fldCharType="begin"/>
            </w:r>
            <w:r>
              <w:instrText xml:space="preserve"> PAGEREF _Toc100093 \h </w:instrText>
            </w:r>
            <w:r>
              <w:fldChar w:fldCharType="separate"/>
            </w:r>
            <w:r>
              <w:t>32</w:t>
            </w:r>
            <w:r>
              <w:fldChar w:fldCharType="end"/>
            </w:r>
          </w:hyperlink>
        </w:p>
        <w:p>
          <w:pPr>
            <w:pStyle w:val="11"/>
            <w:ind w:left="360"/>
            <w:tabs>
              <w:tab w:val="right" w:leader="dot" w:pos="9026"/>
            </w:tabs>
            <w:spacing w:before="120" w:after="60"/>
          </w:pPr>
          <w:hyperlink w:anchor="_Toc100094" w:history="1">
            <w:r>
              <w:rPr>
                <w:rStyle w:val="Hyperlink"/>
              </w:rPr>
              <w:t>B.3 Broker Rejection with Retry</w:t>
            </w:r>
            <w:r>
              <w:tab/>
            </w:r>
            <w:r>
              <w:fldChar w:fldCharType="begin"/>
            </w:r>
            <w:r>
              <w:instrText xml:space="preserve"> PAGEREF _Toc100094 \h </w:instrText>
            </w:r>
            <w:r>
              <w:fldChar w:fldCharType="separate"/>
            </w:r>
            <w:r>
              <w:t>33</w:t>
            </w:r>
            <w:r>
              <w:fldChar w:fldCharType="end"/>
            </w:r>
          </w:hyperlink>
        </w:p>
        <w:p>
          <w:r>
            <w:fldChar w:fldCharType="end"/>
          </w:r>
        </w:p>
      </w:sdtContent>
    </w:sdt>
    <w:p>
      <w:r>
        <w:br w:type="page"/>
      </w:r>
    </w:p>
    <w:p>
      <w:pPr>
        <w:sectPr>
          <w:footerReference w:type="default" r:id="rId7"/>
          <w:pgSz w:w="11906" w:h="16838" w:orient="portrait"/>
          <w:pgMar w:top="1440" w:right="1440" w:bottom="1440" w:left="1440" w:header="708" w:footer="708" w:gutter="0"/>
          <w:pgNumType w:start="1" w:fmt="lowerRoman"/>
          <w:docGrid w:linePitch="360"/>
        </w:sectPr>
      </w:pPr>
    </w:p>
    <w:p>
      <w:pPr>
        <w:pStyle w:val="Heading1"/>
        <w:pageBreakBefore/>
        <w:pBdr>
          <w:bottom w:val="single" w:color="C8102E" w:sz="18" w:space="4"/>
        </w:pBdr>
        <w:spacing w:after="240" w:before="480"/>
      </w:pPr>
      <w:bookmarkStart w:id="100000" w:name="_Toc100000"/>
      <w:r>
        <w:rPr>
          <w:rFonts w:ascii="Liberation Serif" w:cs="Liberation Serif" w:eastAsia="Liberation Serif" w:hAnsi="Liberation Serif"/>
          <w:b/>
          <w:bCs/>
          <w:color w:val="14213D"/>
          <w:sz w:val="40"/>
          <w:szCs w:val="40"/>
        </w:rPr>
        <w:t xml:space="preserve">Chapter 1 — Executive Summary</w:t>
      </w:r>
      <w:bookmarkEnd w:id="100000"/>
    </w:p>
    <w:p>
      <w:pPr>
        <w:spacing w:after="160" w:line="312"/>
        <w:jc w:val="both"/>
      </w:pPr>
      <w:r>
        <w:rPr>
          <w:rFonts w:ascii="Liberation Serif" w:cs="Liberation Serif" w:eastAsia="Liberation Serif" w:hAnsi="Liberation Serif"/>
          <w:color w:val="14213D"/>
          <w:sz w:val="22"/>
          <w:szCs w:val="22"/>
        </w:rPr>
        <w:t xml:space="preserve">The Institutional Execution Engine (IEE) is the TITAN XAU AI subsystem responsible for translating trading signals into broker-submitted orders and tracking those orders through to fill completion. It is the system's execution spine: every order placed by any strategy flows through the IEE, and every fill recorded by the system arrives through the IEE. The engine is designed for ultra-low-latency operation (sub-2ms internal p99), CPU-optimized hot-path execution (no heap allocations, no syscalls, no blocking), and RAM efficiency (under 256 MB resident per process).</w:t>
      </w:r>
    </w:p>
    <w:p>
      <w:pPr>
        <w:spacing w:after="160" w:line="312"/>
        <w:jc w:val="both"/>
      </w:pPr>
      <w:r>
        <w:rPr>
          <w:rFonts w:ascii="Liberation Serif" w:cs="Liberation Serif" w:eastAsia="Liberation Serif" w:hAnsi="Liberation Serif"/>
          <w:color w:val="14213D"/>
          <w:sz w:val="22"/>
          <w:szCs w:val="22"/>
        </w:rPr>
        <w:t xml:space="preserve">The IEE provides seven core features mandated by the project charter: (1) async processing via lock-free SPSC queues and a custom event loop, (2) tick-based execution that triggers on every market tick rather than polling, (3) real-time slippage monitoring with rolling statistics and outlier detection, (4) execution quality scoring via a seven-factor weighted model producing a 0-100 score per order, (5) an order retry system with exponential backoff and jitter, (6) partial fills handling with residual quantity tracking and re-routing, and (7) broker rejection handling with a 12-code classifier routing each rejection to retry, reduce-size, or abort-and-escalate.</w:t>
      </w:r>
    </w:p>
    <w:p>
      <w:pPr>
        <w:spacing w:after="160" w:line="312"/>
        <w:jc w:val="both"/>
      </w:pPr>
      <w:r>
        <w:rPr>
          <w:rFonts w:ascii="Liberation Serif" w:cs="Liberation Serif" w:eastAsia="Liberation Serif" w:hAnsi="Liberation Serif"/>
          <w:color w:val="14213D"/>
          <w:sz w:val="22"/>
          <w:szCs w:val="22"/>
        </w:rPr>
        <w:t xml:space="preserve">The engine is organized into six logical layers: ingest (tick and signal ingress), decision (pre-execution gating including risk and venue selection), execution (the hot path — order manager, dispatcher, fill processor, cancel processor), monitoring (slippage, EQS, TCA), recovery (retry, reconciliation, rejection classification), and persistence/observability (audit, metrics, state replication). A strict layering rule ensures that the hot path (L3) has zero dependencies on the slower layers (L4, L5, L6), which run on separate CPU cores and communicate via SPSC queues.</w:t>
      </w:r>
    </w:p>
    <w:p>
      <w:pPr>
        <w:spacing w:after="160" w:line="312"/>
        <w:jc w:val="both"/>
      </w:pPr>
      <w:r>
        <w:rPr>
          <w:rFonts w:ascii="Liberation Serif" w:cs="Liberation Serif" w:eastAsia="Liberation Serif" w:hAnsi="Liberation Serif"/>
          <w:color w:val="14213D"/>
          <w:sz w:val="22"/>
          <w:szCs w:val="22"/>
        </w:rPr>
        <w:t xml:space="preserve">Performance is the defining characteristic of the IEE. The internal signal-to-fill latency budget is 2.0 ms at p99 (excluding broker round-trip), with 0.95 ms at p50 and 5.20 ms at p99.9. The end-to-end budget including broker round-trip is 6.0 ms at p99. Achieving this requires CPU pinning to isolated cores (CPU 2-3, NO_HZ_FULL, rcu_nocbs), pre-allocated order pools (zero heap allocations on the hot path), lock-free SPSC queues between threads, and a strict ban on syscalls, blocking I/O, and dynamic memory allocation in any L3 code path. RAM usage is capped at 256 MB per process via cgroups, with 4 GB of hugepages reserved for ring buffers.</w:t>
      </w:r>
    </w:p>
    <w:p>
      <w:pPr>
        <w:spacing w:after="160" w:line="312"/>
        <w:jc w:val="both"/>
      </w:pPr>
      <w:r>
        <w:rPr>
          <w:rFonts w:ascii="Liberation Serif" w:cs="Liberation Serif" w:eastAsia="Liberation Serif" w:hAnsi="Liberation Serif"/>
          <w:color w:val="14213D"/>
          <w:sz w:val="22"/>
          <w:szCs w:val="22"/>
        </w:rPr>
        <w:t xml:space="preserve">This document specifies the complete architecture, execution flow, order lifecycle, error recovery logic, performance benchmarks, and validation tests for the IEE. It does not specify trading strategy logic — the IEE is intentionally agnostic to why an order is being placed. Its sole responsibility is to execute orders correctly, quickly, and with full observability, recovering gracefully from the wide variety of failure modes that real-world MT5 brokers exhibit.</w:t>
      </w:r>
    </w:p>
    <w:p>
      <w:pPr>
        <w:pStyle w:val="Heading1"/>
        <w:pageBreakBefore/>
        <w:pBdr>
          <w:bottom w:val="single" w:color="C8102E" w:sz="18" w:space="4"/>
        </w:pBdr>
        <w:spacing w:after="240" w:before="480"/>
      </w:pPr>
      <w:bookmarkStart w:id="100001" w:name="_Toc100001"/>
      <w:r>
        <w:rPr>
          <w:rFonts w:ascii="Liberation Serif" w:cs="Liberation Serif" w:eastAsia="Liberation Serif" w:hAnsi="Liberation Serif"/>
          <w:b/>
          <w:bCs/>
          <w:color w:val="14213D"/>
          <w:sz w:val="40"/>
          <w:szCs w:val="40"/>
        </w:rPr>
        <w:t xml:space="preserve">Chapter 2 — Design Principles</w:t>
      </w:r>
      <w:bookmarkEnd w:id="100001"/>
    </w:p>
    <w:p>
      <w:pPr>
        <w:spacing w:after="160" w:line="312"/>
        <w:jc w:val="both"/>
      </w:pPr>
      <w:r>
        <w:rPr>
          <w:rFonts w:ascii="Liberation Serif" w:cs="Liberation Serif" w:eastAsia="Liberation Serif" w:hAnsi="Liberation Serif"/>
          <w:color w:val="14213D"/>
          <w:sz w:val="22"/>
          <w:szCs w:val="22"/>
        </w:rPr>
        <w:t xml:space="preserve">The IEE is governed by six design principles. Each principle exists to enforce a specific performance, reliability, or correctness property, and each is non-negotiable — code that violates them must be rejected in review. These principles are the architectural constitution of the engine.</w:t>
      </w:r>
    </w:p>
    <w:p>
      <w:pPr>
        <w:pStyle w:val="Heading2"/>
        <w:spacing w:after="160" w:before="320"/>
      </w:pPr>
      <w:bookmarkStart w:id="100002" w:name="_Toc100002"/>
      <w:r>
        <w:rPr>
          <w:rFonts w:ascii="Liberation Serif" w:cs="Liberation Serif" w:eastAsia="Liberation Serif" w:hAnsi="Liberation Serif"/>
          <w:b/>
          <w:bCs/>
          <w:color w:val="14213D"/>
          <w:sz w:val="28"/>
          <w:szCs w:val="28"/>
        </w:rPr>
        <w:t xml:space="preserve">Principle 1 — Ultra-Low Latency Is a Feature, Not a Target</w:t>
      </w:r>
      <w:bookmarkEnd w:id="100002"/>
    </w:p>
    <w:p>
      <w:pPr>
        <w:spacing w:after="160" w:line="312"/>
        <w:jc w:val="both"/>
      </w:pPr>
      <w:r>
        <w:rPr>
          <w:rFonts w:ascii="Liberation Serif" w:cs="Liberation Serif" w:eastAsia="Liberation Serif" w:hAnsi="Liberation Serif"/>
          <w:color w:val="14213D"/>
          <w:sz w:val="22"/>
          <w:szCs w:val="22"/>
        </w:rPr>
        <w:t xml:space="preserve">The IEE treats latency as a hard correctness requirement, not a performance optimization. A p99 internal latency above 2.0 ms is treated as a production incident and triggers an operator page. This is enforced structurally: the hot path (L3) is banned from using syscalls, blocking I/O, dynamic memory allocation, or any synchronization primitive heavier than an atomic load/store. A custom static analyzer (titan-hotpath-lint) runs in CI and rejects any L3 code that calls malloc, new, mutex.lock, read, write, or any of several hundred banned functions. The result is a hot path that achieves sub-millisecond p99 latency with sub-microsecond jitter.</w:t>
      </w:r>
    </w:p>
    <w:p>
      <w:pPr>
        <w:pStyle w:val="Heading2"/>
        <w:spacing w:after="160" w:before="320"/>
      </w:pPr>
      <w:bookmarkStart w:id="100003" w:name="_Toc100003"/>
      <w:r>
        <w:rPr>
          <w:rFonts w:ascii="Liberation Serif" w:cs="Liberation Serif" w:eastAsia="Liberation Serif" w:hAnsi="Liberation Serif"/>
          <w:b/>
          <w:bCs/>
          <w:color w:val="14213D"/>
          <w:sz w:val="28"/>
          <w:szCs w:val="28"/>
        </w:rPr>
        <w:t xml:space="preserve">Principle 2 — Async Everything</w:t>
      </w:r>
      <w:bookmarkEnd w:id="100003"/>
    </w:p>
    <w:p>
      <w:pPr>
        <w:spacing w:after="160" w:line="312"/>
        <w:jc w:val="both"/>
      </w:pPr>
      <w:r>
        <w:rPr>
          <w:rFonts w:ascii="Liberation Serif" w:cs="Liberation Serif" w:eastAsia="Liberation Serif" w:hAnsi="Liberation Serif"/>
          <w:color w:val="14213D"/>
          <w:sz w:val="22"/>
          <w:szCs w:val="22"/>
        </w:rPr>
        <w:t xml:space="preserve">The IEE never blocks. Every operation that could potentially wait — broker submission, fill callback, risk gate query, audit log write — is performed asynchronously via lock-free SPSC queues and a custom event loop built on timerfd and eventfd. The hot-path thread (CPU 2-3) does nothing but pop from the ingress queue, process, and push to the egress queue; all I/O is delegated to dedicated worker threads. This is essential because a single blocked hot-path thread would cause every subsequent order to miss its latency budget, cascading into a system-wide latency spike.</w:t>
      </w:r>
    </w:p>
    <w:p>
      <w:pPr>
        <w:pStyle w:val="Heading2"/>
        <w:spacing w:after="160" w:before="320"/>
      </w:pPr>
      <w:bookmarkStart w:id="100004" w:name="_Toc100004"/>
      <w:r>
        <w:rPr>
          <w:rFonts w:ascii="Liberation Serif" w:cs="Liberation Serif" w:eastAsia="Liberation Serif" w:hAnsi="Liberation Serif"/>
          <w:b/>
          <w:bCs/>
          <w:color w:val="14213D"/>
          <w:sz w:val="28"/>
          <w:szCs w:val="28"/>
        </w:rPr>
        <w:t xml:space="preserve">Principle 3 — CPU-Optimized Hot Path</w:t>
      </w:r>
      <w:bookmarkEnd w:id="100004"/>
    </w:p>
    <w:p>
      <w:pPr>
        <w:spacing w:after="160" w:line="312"/>
        <w:jc w:val="both"/>
      </w:pPr>
      <w:r>
        <w:rPr>
          <w:rFonts w:ascii="Liberation Serif" w:cs="Liberation Serif" w:eastAsia="Liberation Serif" w:hAnsi="Liberation Serif"/>
          <w:color w:val="14213D"/>
          <w:sz w:val="22"/>
          <w:szCs w:val="22"/>
        </w:rPr>
        <w:t xml:space="preserve">The hot path runs on CPU 2-3, which is isolated from kernel scheduling via the isolcpus kernel parameter. Timer ticks are eliminated via NO_HZ_FULL, RCU callbacks are offloaded via rcu_nocbs, and hyper-threading is disabled on those cores. The hot-path thread is the only thread that runs on CPU 2-3; all other threads (ingress, egress, monitoring, audit) run on different cores and communicate via SPSC queues. This isolation reduces kernel preemptions from thousands per second (default kernel) to fewer than one per second under load, which is the single most impactful change for latency predictability.</w:t>
      </w:r>
    </w:p>
    <w:p>
      <w:pPr>
        <w:pStyle w:val="Heading2"/>
        <w:spacing w:after="160" w:before="320"/>
      </w:pPr>
      <w:bookmarkStart w:id="100005" w:name="_Toc100005"/>
      <w:r>
        <w:rPr>
          <w:rFonts w:ascii="Liberation Serif" w:cs="Liberation Serif" w:eastAsia="Liberation Serif" w:hAnsi="Liberation Serif"/>
          <w:b/>
          <w:bCs/>
          <w:color w:val="14213D"/>
          <w:sz w:val="28"/>
          <w:szCs w:val="28"/>
        </w:rPr>
        <w:t xml:space="preserve">Principle 4 — RAM Efficiency via Pre-Allocation</w:t>
      </w:r>
      <w:bookmarkEnd w:id="100005"/>
    </w:p>
    <w:p>
      <w:pPr>
        <w:spacing w:after="160" w:line="312"/>
        <w:jc w:val="both"/>
      </w:pPr>
      <w:r>
        <w:rPr>
          <w:rFonts w:ascii="Liberation Serif" w:cs="Liberation Serif" w:eastAsia="Liberation Serif" w:hAnsi="Liberation Serif"/>
          <w:color w:val="14213D"/>
          <w:sz w:val="22"/>
          <w:szCs w:val="22"/>
        </w:rPr>
        <w:t xml:space="preserve">The IEE pre-allocates all memory it will ever need at startup. Order objects come from a fixed-size pool (typically 4096 orders), message buffers come from a slab allocator, and all ring buffers are sized at startup based on configured capacity. No malloc, no new, no std::vector resize, no std::string concatenation on the hot path. The Order pool is zeroed at startup and recycled via a free-list; allocation is a single pointer swap. This gives us O(1) allocation latency and a hard cap on memory usage — the engine cannot run out of memory mid-trade because all memory was reserved at startup.</w:t>
      </w:r>
    </w:p>
    <w:p>
      <w:pPr>
        <w:pStyle w:val="Heading2"/>
        <w:spacing w:after="160" w:before="320"/>
      </w:pPr>
      <w:bookmarkStart w:id="100006" w:name="_Toc100006"/>
      <w:r>
        <w:rPr>
          <w:rFonts w:ascii="Liberation Serif" w:cs="Liberation Serif" w:eastAsia="Liberation Serif" w:hAnsi="Liberation Serif"/>
          <w:b/>
          <w:bCs/>
          <w:color w:val="14213D"/>
          <w:sz w:val="28"/>
          <w:szCs w:val="28"/>
        </w:rPr>
        <w:t xml:space="preserve">Principle 5 — Tick-Based, Not Polling</w:t>
      </w:r>
      <w:bookmarkEnd w:id="100006"/>
    </w:p>
    <w:p>
      <w:pPr>
        <w:spacing w:after="160" w:line="312"/>
        <w:jc w:val="both"/>
      </w:pPr>
      <w:r>
        <w:rPr>
          <w:rFonts w:ascii="Liberation Serif" w:cs="Liberation Serif" w:eastAsia="Liberation Serif" w:hAnsi="Liberation Serif"/>
          <w:color w:val="14213D"/>
          <w:sz w:val="22"/>
          <w:szCs w:val="22"/>
        </w:rPr>
        <w:t xml:space="preserve">The IEE executes on every tick, not on a polling schedule. Each tick from the market data gateway triggers the TickIngestor, which pushes the tick onto a ring buffer and wakes the hot-path thread via futex. The hot-path thread then processes any pending signals whose preconditions (e.g., price crossing a threshold) are now satisfied by the new tick. This eliminates the latency floor imposed by polling (typically 10-100 ms) and ensures the system reacts to market changes within microseconds of their occurrence. The trade-off is higher CPU utilization (the hot-path thread is always busy-waiting between ticks), which we accept in exchange for the latency improvement.</w:t>
      </w:r>
    </w:p>
    <w:p>
      <w:pPr>
        <w:pStyle w:val="Heading2"/>
        <w:spacing w:after="160" w:before="320"/>
      </w:pPr>
      <w:bookmarkStart w:id="100007" w:name="_Toc100007"/>
      <w:r>
        <w:rPr>
          <w:rFonts w:ascii="Liberation Serif" w:cs="Liberation Serif" w:eastAsia="Liberation Serif" w:hAnsi="Liberation Serif"/>
          <w:b/>
          <w:bCs/>
          <w:color w:val="14213D"/>
          <w:sz w:val="28"/>
          <w:szCs w:val="28"/>
        </w:rPr>
        <w:t xml:space="preserve">Principle 6 — Fail-Safe, Not Fail-Fast</w:t>
      </w:r>
      <w:bookmarkEnd w:id="100007"/>
    </w:p>
    <w:p>
      <w:pPr>
        <w:spacing w:after="160" w:line="312"/>
        <w:jc w:val="both"/>
      </w:pPr>
      <w:r>
        <w:rPr>
          <w:rFonts w:ascii="Liberation Serif" w:cs="Liberation Serif" w:eastAsia="Liberation Serif" w:hAnsi="Liberation Serif"/>
          <w:color w:val="14213D"/>
          <w:sz w:val="22"/>
          <w:szCs w:val="22"/>
        </w:rPr>
        <w:t xml:space="preserve">When something goes wrong, the IEE prioritizes safety over speed. A broker disconnect does not crash the engine — it marks all in-flight orders as ERROR, engages the kill switch on the primary symbol, and waits for reconnection. A partial fill does not panic — it tracks the residual quantity and re-routes it according to the strategy's residual policy. A reconciliation discrepancy (orphan or phantom order) does not auto-trade — it escalates to the operator and waits for human intervention. The engine is designed to fail in safe directions: when in doubt, halt new orders, flatten existing positions, and notify the operator. The kill switch is always one operation away.</w:t>
      </w:r>
    </w:p>
    <w:p>
      <w:pPr>
        <w:pStyle w:val="Heading1"/>
        <w:pageBreakBefore/>
        <w:pBdr>
          <w:bottom w:val="single" w:color="C8102E" w:sz="18" w:space="4"/>
        </w:pBdr>
        <w:spacing w:after="240" w:before="480"/>
      </w:pPr>
      <w:bookmarkStart w:id="100008" w:name="_Toc100008"/>
      <w:r>
        <w:rPr>
          <w:rFonts w:ascii="Liberation Serif" w:cs="Liberation Serif" w:eastAsia="Liberation Serif" w:hAnsi="Liberation Serif"/>
          <w:b/>
          <w:bCs/>
          <w:color w:val="14213D"/>
          <w:sz w:val="40"/>
          <w:szCs w:val="40"/>
        </w:rPr>
        <w:t xml:space="preserve">Chapter 3 — Architecture Overview</w:t>
      </w:r>
      <w:bookmarkEnd w:id="100008"/>
    </w:p>
    <w:p>
      <w:pPr>
        <w:spacing w:after="160" w:line="312"/>
        <w:jc w:val="both"/>
      </w:pPr>
      <w:r>
        <w:rPr>
          <w:rFonts w:ascii="Liberation Serif" w:cs="Liberation Serif" w:eastAsia="Liberation Serif" w:hAnsi="Liberation Serif"/>
          <w:color w:val="14213D"/>
          <w:sz w:val="22"/>
          <w:szCs w:val="22"/>
        </w:rPr>
        <w:t xml:space="preserve">The IEE is organized into six logical layers, each with a single responsibility and a strict dependency rule (layer N may only depend on layer N-1 or below). The hot path (L3 Execution) is structurally isolated from the slower layers (L4 Monitoring, L5 Recovery, L6 Persistence) and communicates with them only via SPSC queues, ensuring that a slow audit write or a complex EQS calculation cannot block an order submission.</w:t>
      </w:r>
    </w:p>
    <w:p>
      <w:pPr>
        <w:spacing w:after="100" w:before="200"/>
        <w:jc w:val="center"/>
      </w:pPr>
      <w:r>
        <w:drawing>
          <wp:inline distT="0" distB="0" distL="0" distR="0">
            <wp:extent cx="594360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4086225"/>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3.1 — Institutional Execution Engine internal architecture, showing the six layers and 20 components.</w:t>
      </w:r>
    </w:p>
    <w:p>
      <w:pPr>
        <w:pStyle w:val="Heading2"/>
        <w:spacing w:after="160" w:before="320"/>
      </w:pPr>
      <w:bookmarkStart w:id="100009" w:name="_Toc100009"/>
      <w:r>
        <w:rPr>
          <w:rFonts w:ascii="Liberation Serif" w:cs="Liberation Serif" w:eastAsia="Liberation Serif" w:hAnsi="Liberation Serif"/>
          <w:b/>
          <w:bCs/>
          <w:color w:val="14213D"/>
          <w:sz w:val="28"/>
          <w:szCs w:val="28"/>
        </w:rPr>
        <w:t xml:space="preserve">Layer Responsibilities</w:t>
      </w:r>
      <w:bookmarkEnd w:id="100009"/>
    </w:p>
    <w:p>
      <w:pPr>
        <w:pStyle w:val="Heading3"/>
        <w:spacing w:after="120" w:before="240"/>
      </w:pPr>
      <w:bookmarkStart w:id="100010" w:name="_Toc100010"/>
      <w:r>
        <w:rPr>
          <w:rFonts w:ascii="Liberation Serif" w:cs="Liberation Serif" w:eastAsia="Liberation Serif" w:hAnsi="Liberation Serif"/>
          <w:b/>
          <w:bCs/>
          <w:color w:val="C8102E"/>
          <w:sz w:val="24"/>
          <w:szCs w:val="24"/>
        </w:rPr>
        <w:t xml:space="preserve">L1 — Ingest</w:t>
      </w:r>
      <w:bookmarkEnd w:id="100010"/>
    </w:p>
    <w:p>
      <w:pPr>
        <w:spacing w:after="160" w:line="312"/>
        <w:jc w:val="both"/>
      </w:pPr>
      <w:r>
        <w:rPr>
          <w:rFonts w:ascii="Liberation Serif" w:cs="Liberation Serif" w:eastAsia="Liberation Serif" w:hAnsi="Liberation Serif"/>
          <w:color w:val="14213D"/>
          <w:sz w:val="22"/>
          <w:szCs w:val="22"/>
        </w:rPr>
        <w:t xml:space="preserve">The ingest layer is the engine's interface to the outside world. TickIngestor subscribes to the market data gateway via ZMQ SUB with zero-copy message transfer, sustaining 50,000 ticks per second. SignalIngestor receives strategy signals via an async callback, pushing them onto an SPSC queue (depth 1024) for the hot-path thread to consume. TimerService provides a monotonic nanosecond clock via timerfd, with no syscalls on the hot path. CallbackRouter dispatches broker callbacks (fill, cancel, reject) to the appropriate processor.</w:t>
      </w:r>
    </w:p>
    <w:p>
      <w:pPr>
        <w:pStyle w:val="Heading3"/>
        <w:spacing w:after="120" w:before="240"/>
      </w:pPr>
      <w:bookmarkStart w:id="100011" w:name="_Toc100011"/>
      <w:r>
        <w:rPr>
          <w:rFonts w:ascii="Liberation Serif" w:cs="Liberation Serif" w:eastAsia="Liberation Serif" w:hAnsi="Liberation Serif"/>
          <w:b/>
          <w:bCs/>
          <w:color w:val="C8102E"/>
          <w:sz w:val="24"/>
          <w:szCs w:val="24"/>
        </w:rPr>
        <w:t xml:space="preserve">L2 — Decision</w:t>
      </w:r>
      <w:bookmarkEnd w:id="100011"/>
    </w:p>
    <w:p>
      <w:pPr>
        <w:spacing w:after="160" w:line="312"/>
        <w:jc w:val="both"/>
      </w:pPr>
      <w:r>
        <w:rPr>
          <w:rFonts w:ascii="Liberation Serif" w:cs="Liberation Serif" w:eastAsia="Liberation Serif" w:hAnsi="Liberation Serif"/>
          <w:color w:val="14213D"/>
          <w:sz w:val="22"/>
          <w:szCs w:val="22"/>
        </w:rPr>
        <w:t xml:space="preserve">The decision layer performs pre-execution gating. OrderBuilder converts a signal into an Order value object using a pre-allocated pool (zero heap allocation). RiskGateClient makes a synchronous call to the RiskGate (L4 of TITAN Core, not this engine), which returns APPROVE/REJECT/THROTTLE in under 0.3 ms p99. VenueSelector chooses the order type (MKT, LMT, STP, STP_LMT) and venue based on signal characteristics and current spread/slippage conditions. IdempotencyGuard deduplicates incoming signals by client_id using a Bloom filter plus a hashmap, dropping duplicates before they enter the hot path.</w:t>
      </w:r>
    </w:p>
    <w:p>
      <w:pPr>
        <w:pStyle w:val="Heading3"/>
        <w:spacing w:after="120" w:before="240"/>
      </w:pPr>
      <w:bookmarkStart w:id="100012" w:name="_Toc100012"/>
      <w:r>
        <w:rPr>
          <w:rFonts w:ascii="Liberation Serif" w:cs="Liberation Serif" w:eastAsia="Liberation Serif" w:hAnsi="Liberation Serif"/>
          <w:b/>
          <w:bCs/>
          <w:color w:val="C8102E"/>
          <w:sz w:val="24"/>
          <w:szCs w:val="24"/>
        </w:rPr>
        <w:t xml:space="preserve">L3 — Execution (Hot Path)</w:t>
      </w:r>
      <w:bookmarkEnd w:id="100012"/>
    </w:p>
    <w:p>
      <w:pPr>
        <w:spacing w:after="160" w:line="312"/>
        <w:jc w:val="both"/>
      </w:pPr>
      <w:r>
        <w:rPr>
          <w:rFonts w:ascii="Liberation Serif" w:cs="Liberation Serif" w:eastAsia="Liberation Serif" w:hAnsi="Liberation Serif"/>
          <w:color w:val="14213D"/>
          <w:sz w:val="22"/>
          <w:szCs w:val="22"/>
        </w:rPr>
        <w:t xml:space="preserve">The execution layer is the hot path, running on CPU 2-3 with full isolation. OrderManager owns the order state machine and is the single source of truth for order state. OrderDispatcher submits orders asynchronously to the MT5 bridge via SPSC queue. FillProcessor handles fill callbacks (full and partial), tracking residual quantities and updating the Position aggregate. CancelProcessor handles cancel requests with a 500ms timeout, supporting both graceful and force cancel modes. All L3 components are banned from heap allocation, syscalls, and blocking operations.</w:t>
      </w:r>
    </w:p>
    <w:p>
      <w:pPr>
        <w:pStyle w:val="Heading3"/>
        <w:spacing w:after="120" w:before="240"/>
      </w:pPr>
      <w:bookmarkStart w:id="100013" w:name="_Toc100013"/>
      <w:r>
        <w:rPr>
          <w:rFonts w:ascii="Liberation Serif" w:cs="Liberation Serif" w:eastAsia="Liberation Serif" w:hAnsi="Liberation Serif"/>
          <w:b/>
          <w:bCs/>
          <w:color w:val="C8102E"/>
          <w:sz w:val="24"/>
          <w:szCs w:val="24"/>
        </w:rPr>
        <w:t xml:space="preserve">L4 — Monitoring</w:t>
      </w:r>
      <w:bookmarkEnd w:id="100013"/>
    </w:p>
    <w:p>
      <w:pPr>
        <w:spacing w:after="160" w:line="312"/>
        <w:jc w:val="both"/>
      </w:pPr>
      <w:r>
        <w:rPr>
          <w:rFonts w:ascii="Liberation Serif" w:cs="Liberation Serif" w:eastAsia="Liberation Serif" w:hAnsi="Liberation Serif"/>
          <w:color w:val="14213D"/>
          <w:sz w:val="22"/>
          <w:szCs w:val="22"/>
        </w:rPr>
        <w:t xml:space="preserve">The monitoring layer observes the execution layer without blocking it. SlippageMonitor computes the difference between expected fill price (mid at signal time ± half-spread) and realized fill price, maintaining rolling 100-trade statistics (μ, σ, p50/p95/p99) and flagging 3σ outliers. ExecutionQualityScorer (EQS) produces a 0-100 score per order using a seven-factor weighted model (slippage, fill latency, spread capture, fill completeness, retry penalty, rejection penalty, market impact). TCACollector aggregates transaction cost analysis data for the daily operator report.</w:t>
      </w:r>
    </w:p>
    <w:p>
      <w:pPr>
        <w:pStyle w:val="Heading3"/>
        <w:spacing w:after="120" w:before="240"/>
      </w:pPr>
      <w:bookmarkStart w:id="100014" w:name="_Toc100014"/>
      <w:r>
        <w:rPr>
          <w:rFonts w:ascii="Liberation Serif" w:cs="Liberation Serif" w:eastAsia="Liberation Serif" w:hAnsi="Liberation Serif"/>
          <w:b/>
          <w:bCs/>
          <w:color w:val="C8102E"/>
          <w:sz w:val="24"/>
          <w:szCs w:val="24"/>
        </w:rPr>
        <w:t xml:space="preserve">L5 — Recovery</w:t>
      </w:r>
      <w:bookmarkEnd w:id="100014"/>
    </w:p>
    <w:p>
      <w:pPr>
        <w:spacing w:after="160" w:line="312"/>
        <w:jc w:val="both"/>
      </w:pPr>
      <w:r>
        <w:rPr>
          <w:rFonts w:ascii="Liberation Serif" w:cs="Liberation Serif" w:eastAsia="Liberation Serif" w:hAnsi="Liberation Serif"/>
          <w:color w:val="14213D"/>
          <w:sz w:val="22"/>
          <w:szCs w:val="22"/>
        </w:rPr>
        <w:t xml:space="preserve">The recovery layer handles the IEE's failure modes. RetryManager implements exponential backoff with jitter (100ms → 300ms → 900ms, capped at 2000ms, budget of 3 retries per order). ReconciliationEngine compares local order state against broker state every 5 seconds, detecting orphans (local thinks order exists, broker doesn't) and phantoms (broker has order, local doesn't). RejectionClassifier maps MT5 return codes to 12 RejectCode values, each routed to retry, reduce-size-and-retry, or abort-and-escalate.</w:t>
      </w:r>
    </w:p>
    <w:p>
      <w:pPr>
        <w:pStyle w:val="Heading3"/>
        <w:spacing w:after="120" w:before="240"/>
      </w:pPr>
      <w:bookmarkStart w:id="100015" w:name="_Toc100015"/>
      <w:r>
        <w:rPr>
          <w:rFonts w:ascii="Liberation Serif" w:cs="Liberation Serif" w:eastAsia="Liberation Serif" w:hAnsi="Liberation Serif"/>
          <w:b/>
          <w:bCs/>
          <w:color w:val="C8102E"/>
          <w:sz w:val="24"/>
          <w:szCs w:val="24"/>
        </w:rPr>
        <w:t xml:space="preserve">L6 — Persistence &amp; Observability</w:t>
      </w:r>
      <w:bookmarkEnd w:id="100015"/>
    </w:p>
    <w:p>
      <w:pPr>
        <w:spacing w:after="160" w:line="312"/>
        <w:jc w:val="both"/>
      </w:pPr>
      <w:r>
        <w:rPr>
          <w:rFonts w:ascii="Liberation Serif" w:cs="Liberation Serif" w:eastAsia="Liberation Serif" w:hAnsi="Liberation Serif"/>
          <w:color w:val="14213D"/>
          <w:sz w:val="22"/>
          <w:szCs w:val="22"/>
        </w:rPr>
        <w:t xml:space="preserve">The persistence layer records everything. AuditLogger writes every order event, fill, risk decision, and operator action to an append-only WORM store with hash-chained entries (batched 10ms flush to amortize I/O). MetricsExporter emits Prometheus counters and latency histograms (scraped every 15s). StateReplicator mirrors hot state to the Z2 standby VPS via Redis, with under 1 second replication lag, enabling sub-3-second failover without losing in-flight orders.</w:t>
      </w:r>
    </w:p>
    <w:p>
      <w:pPr>
        <w:pStyle w:val="Heading2"/>
        <w:spacing w:after="160" w:before="320"/>
      </w:pPr>
      <w:bookmarkStart w:id="100016" w:name="_Toc100016"/>
      <w:r>
        <w:rPr>
          <w:rFonts w:ascii="Liberation Serif" w:cs="Liberation Serif" w:eastAsia="Liberation Serif" w:hAnsi="Liberation Serif"/>
          <w:b/>
          <w:bCs/>
          <w:color w:val="14213D"/>
          <w:sz w:val="28"/>
          <w:szCs w:val="28"/>
        </w:rPr>
        <w:t xml:space="preserve">Service Inventory</w:t>
      </w:r>
      <w:bookmarkEnd w:id="100016"/>
    </w:p>
    <w:tbl>
      <w:tblPr>
        <w:tblW w:type="dxa" w:w="9000"/>
        <w:tblBorders>
          <w:top w:val="single" w:color="14213D" w:sz="6"/>
          <w:left w:val="single" w:color="CBD5E1" w:sz="4"/>
          <w:bottom w:val="single" w:color="14213D" w:sz="6"/>
          <w:right w:val="single" w:color="CBD5E1" w:sz="4"/>
          <w:insideH w:val="single" w:color="CBD5E1" w:sz="4"/>
          <w:insideV w:val="single" w:color="CBD5E1" w:sz="4"/>
        </w:tblBorders>
      </w:tblPr>
      <w:tblGrid>
        <w:gridCol w:w="100"/>
        <w:gridCol w:w="100"/>
        <w:gridCol w:w="100"/>
        <w:gridCol w:w="100"/>
        <w:gridCol w:w="100"/>
        <w:gridCol w:w="100"/>
      </w:tblGrid>
      <w:tr>
        <w:trPr>
          <w:cantSplit/>
          <w:tblHeader/>
        </w:trPr>
        <w:tc>
          <w:tcPr>
            <w:tcW w:type="dxa" w:w="54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Layer</w:t>
            </w:r>
          </w:p>
        </w:tc>
        <w:tc>
          <w:tcPr>
            <w:tcW w:type="dxa" w:w="252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Component</w:t>
            </w:r>
          </w:p>
        </w:tc>
        <w:tc>
          <w:tcPr>
            <w:tcW w:type="dxa" w:w="72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Lang</w:t>
            </w:r>
          </w:p>
        </w:tc>
        <w:tc>
          <w:tcPr>
            <w:tcW w:type="dxa" w:w="54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CPU</w:t>
            </w:r>
          </w:p>
        </w:tc>
        <w:tc>
          <w:tcPr>
            <w:tcW w:type="dxa" w:w="162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p99 Latency</w:t>
            </w:r>
          </w:p>
        </w:tc>
        <w:tc>
          <w:tcPr>
            <w:tcW w:type="dxa" w:w="216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RAM</w:t>
            </w:r>
          </w:p>
        </w:tc>
      </w:tr>
      <w:tr>
        <w:trPr>
          <w:cantSplit/>
        </w:trPr>
        <w:tc>
          <w:tcPr>
            <w:tcW w:type="dxa" w:w="54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L1</w:t>
            </w:r>
          </w:p>
        </w:tc>
        <w:tc>
          <w:tcPr>
            <w:tcW w:type="dxa" w:w="25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TickIngestor</w:t>
            </w:r>
          </w:p>
        </w:tc>
        <w:tc>
          <w:tcPr>
            <w:tcW w:type="dxa" w:w="7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C++</w:t>
            </w:r>
          </w:p>
        </w:tc>
        <w:tc>
          <w:tcPr>
            <w:tcW w:type="dxa" w:w="54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4</w:t>
            </w:r>
          </w:p>
        </w:tc>
        <w:tc>
          <w:tcPr>
            <w:tcW w:type="dxa" w:w="16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0.05 ms</w:t>
            </w:r>
          </w:p>
        </w:tc>
        <w:tc>
          <w:tcPr>
            <w:tcW w:type="dxa" w:w="216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32 MB (ring buffer)</w:t>
            </w:r>
          </w:p>
        </w:tc>
      </w:tr>
      <w:tr>
        <w:trPr>
          <w:cantSplit/>
        </w:trPr>
        <w:tc>
          <w:tcPr>
            <w:tcW w:type="dxa" w:w="54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L1</w:t>
            </w:r>
          </w:p>
        </w:tc>
        <w:tc>
          <w:tcPr>
            <w:tcW w:type="dxa" w:w="25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SignalIngestor</w:t>
            </w:r>
          </w:p>
        </w:tc>
        <w:tc>
          <w:tcPr>
            <w:tcW w:type="dxa" w:w="7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C++</w:t>
            </w:r>
          </w:p>
        </w:tc>
        <w:tc>
          <w:tcPr>
            <w:tcW w:type="dxa" w:w="54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4</w:t>
            </w:r>
          </w:p>
        </w:tc>
        <w:tc>
          <w:tcPr>
            <w:tcW w:type="dxa" w:w="16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0.02 ms</w:t>
            </w:r>
          </w:p>
        </w:tc>
        <w:tc>
          <w:tcPr>
            <w:tcW w:type="dxa" w:w="216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8 MB (SPSC queue)</w:t>
            </w:r>
          </w:p>
        </w:tc>
      </w:tr>
      <w:tr>
        <w:trPr>
          <w:cantSplit/>
        </w:trPr>
        <w:tc>
          <w:tcPr>
            <w:tcW w:type="dxa" w:w="54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L1</w:t>
            </w:r>
          </w:p>
        </w:tc>
        <w:tc>
          <w:tcPr>
            <w:tcW w:type="dxa" w:w="25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TimerService</w:t>
            </w:r>
          </w:p>
        </w:tc>
        <w:tc>
          <w:tcPr>
            <w:tcW w:type="dxa" w:w="7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C++</w:t>
            </w:r>
          </w:p>
        </w:tc>
        <w:tc>
          <w:tcPr>
            <w:tcW w:type="dxa" w:w="54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4</w:t>
            </w:r>
          </w:p>
        </w:tc>
        <w:tc>
          <w:tcPr>
            <w:tcW w:type="dxa" w:w="16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0.01 ms</w:t>
            </w:r>
          </w:p>
        </w:tc>
        <w:tc>
          <w:tcPr>
            <w:tcW w:type="dxa" w:w="216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&lt;1 MB</w:t>
            </w:r>
          </w:p>
        </w:tc>
      </w:tr>
      <w:tr>
        <w:trPr>
          <w:cantSplit/>
        </w:trPr>
        <w:tc>
          <w:tcPr>
            <w:tcW w:type="dxa" w:w="54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L1</w:t>
            </w:r>
          </w:p>
        </w:tc>
        <w:tc>
          <w:tcPr>
            <w:tcW w:type="dxa" w:w="25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CallbackRouter</w:t>
            </w:r>
          </w:p>
        </w:tc>
        <w:tc>
          <w:tcPr>
            <w:tcW w:type="dxa" w:w="7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C++</w:t>
            </w:r>
          </w:p>
        </w:tc>
        <w:tc>
          <w:tcPr>
            <w:tcW w:type="dxa" w:w="54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4</w:t>
            </w:r>
          </w:p>
        </w:tc>
        <w:tc>
          <w:tcPr>
            <w:tcW w:type="dxa" w:w="16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0.02 ms</w:t>
            </w:r>
          </w:p>
        </w:tc>
        <w:tc>
          <w:tcPr>
            <w:tcW w:type="dxa" w:w="216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4 MB</w:t>
            </w:r>
          </w:p>
        </w:tc>
      </w:tr>
      <w:tr>
        <w:trPr>
          <w:cantSplit/>
        </w:trPr>
        <w:tc>
          <w:tcPr>
            <w:tcW w:type="dxa" w:w="54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L2</w:t>
            </w:r>
          </w:p>
        </w:tc>
        <w:tc>
          <w:tcPr>
            <w:tcW w:type="dxa" w:w="25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OrderBuilder</w:t>
            </w:r>
          </w:p>
        </w:tc>
        <w:tc>
          <w:tcPr>
            <w:tcW w:type="dxa" w:w="7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C++</w:t>
            </w:r>
          </w:p>
        </w:tc>
        <w:tc>
          <w:tcPr>
            <w:tcW w:type="dxa" w:w="54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3</w:t>
            </w:r>
          </w:p>
        </w:tc>
        <w:tc>
          <w:tcPr>
            <w:tcW w:type="dxa" w:w="16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0.05 ms</w:t>
            </w:r>
          </w:p>
        </w:tc>
        <w:tc>
          <w:tcPr>
            <w:tcW w:type="dxa" w:w="216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8 MB (pool)</w:t>
            </w:r>
          </w:p>
        </w:tc>
      </w:tr>
      <w:tr>
        <w:trPr>
          <w:cantSplit/>
        </w:trPr>
        <w:tc>
          <w:tcPr>
            <w:tcW w:type="dxa" w:w="54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L2</w:t>
            </w:r>
          </w:p>
        </w:tc>
        <w:tc>
          <w:tcPr>
            <w:tcW w:type="dxa" w:w="25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RiskGateClient</w:t>
            </w:r>
          </w:p>
        </w:tc>
        <w:tc>
          <w:tcPr>
            <w:tcW w:type="dxa" w:w="7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C++</w:t>
            </w:r>
          </w:p>
        </w:tc>
        <w:tc>
          <w:tcPr>
            <w:tcW w:type="dxa" w:w="54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3</w:t>
            </w:r>
          </w:p>
        </w:tc>
        <w:tc>
          <w:tcPr>
            <w:tcW w:type="dxa" w:w="16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0.30 ms</w:t>
            </w:r>
          </w:p>
        </w:tc>
        <w:tc>
          <w:tcPr>
            <w:tcW w:type="dxa" w:w="216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&lt;1 MB</w:t>
            </w:r>
          </w:p>
        </w:tc>
      </w:tr>
      <w:tr>
        <w:trPr>
          <w:cantSplit/>
        </w:trPr>
        <w:tc>
          <w:tcPr>
            <w:tcW w:type="dxa" w:w="54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L2</w:t>
            </w:r>
          </w:p>
        </w:tc>
        <w:tc>
          <w:tcPr>
            <w:tcW w:type="dxa" w:w="25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VenueSelector</w:t>
            </w:r>
          </w:p>
        </w:tc>
        <w:tc>
          <w:tcPr>
            <w:tcW w:type="dxa" w:w="7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C++</w:t>
            </w:r>
          </w:p>
        </w:tc>
        <w:tc>
          <w:tcPr>
            <w:tcW w:type="dxa" w:w="54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3</w:t>
            </w:r>
          </w:p>
        </w:tc>
        <w:tc>
          <w:tcPr>
            <w:tcW w:type="dxa" w:w="16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0.10 ms</w:t>
            </w:r>
          </w:p>
        </w:tc>
        <w:tc>
          <w:tcPr>
            <w:tcW w:type="dxa" w:w="216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&lt;1 MB</w:t>
            </w:r>
          </w:p>
        </w:tc>
      </w:tr>
      <w:tr>
        <w:trPr>
          <w:cantSplit/>
        </w:trPr>
        <w:tc>
          <w:tcPr>
            <w:tcW w:type="dxa" w:w="54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L2</w:t>
            </w:r>
          </w:p>
        </w:tc>
        <w:tc>
          <w:tcPr>
            <w:tcW w:type="dxa" w:w="25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IdempotencyGuard</w:t>
            </w:r>
          </w:p>
        </w:tc>
        <w:tc>
          <w:tcPr>
            <w:tcW w:type="dxa" w:w="7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C++</w:t>
            </w:r>
          </w:p>
        </w:tc>
        <w:tc>
          <w:tcPr>
            <w:tcW w:type="dxa" w:w="54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3</w:t>
            </w:r>
          </w:p>
        </w:tc>
        <w:tc>
          <w:tcPr>
            <w:tcW w:type="dxa" w:w="16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0.05 ms</w:t>
            </w:r>
          </w:p>
        </w:tc>
        <w:tc>
          <w:tcPr>
            <w:tcW w:type="dxa" w:w="216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8 MB (Bloom)</w:t>
            </w:r>
          </w:p>
        </w:tc>
      </w:tr>
      <w:tr>
        <w:trPr>
          <w:cantSplit/>
        </w:trPr>
        <w:tc>
          <w:tcPr>
            <w:tcW w:type="dxa" w:w="54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L3</w:t>
            </w:r>
          </w:p>
        </w:tc>
        <w:tc>
          <w:tcPr>
            <w:tcW w:type="dxa" w:w="25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OrderManager</w:t>
            </w:r>
          </w:p>
        </w:tc>
        <w:tc>
          <w:tcPr>
            <w:tcW w:type="dxa" w:w="7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C++</w:t>
            </w:r>
          </w:p>
        </w:tc>
        <w:tc>
          <w:tcPr>
            <w:tcW w:type="dxa" w:w="54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2</w:t>
            </w:r>
          </w:p>
        </w:tc>
        <w:tc>
          <w:tcPr>
            <w:tcW w:type="dxa" w:w="16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0.15 ms</w:t>
            </w:r>
          </w:p>
        </w:tc>
        <w:tc>
          <w:tcPr>
            <w:tcW w:type="dxa" w:w="216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16 MB (state map)</w:t>
            </w:r>
          </w:p>
        </w:tc>
      </w:tr>
      <w:tr>
        <w:trPr>
          <w:cantSplit/>
        </w:trPr>
        <w:tc>
          <w:tcPr>
            <w:tcW w:type="dxa" w:w="54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L3</w:t>
            </w:r>
          </w:p>
        </w:tc>
        <w:tc>
          <w:tcPr>
            <w:tcW w:type="dxa" w:w="25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OrderDispatcher</w:t>
            </w:r>
          </w:p>
        </w:tc>
        <w:tc>
          <w:tcPr>
            <w:tcW w:type="dxa" w:w="7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C++</w:t>
            </w:r>
          </w:p>
        </w:tc>
        <w:tc>
          <w:tcPr>
            <w:tcW w:type="dxa" w:w="54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2</w:t>
            </w:r>
          </w:p>
        </w:tc>
        <w:tc>
          <w:tcPr>
            <w:tcW w:type="dxa" w:w="16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0.10 ms</w:t>
            </w:r>
          </w:p>
        </w:tc>
        <w:tc>
          <w:tcPr>
            <w:tcW w:type="dxa" w:w="216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4 MB (SPSC)</w:t>
            </w:r>
          </w:p>
        </w:tc>
      </w:tr>
      <w:tr>
        <w:trPr>
          <w:cantSplit/>
        </w:trPr>
        <w:tc>
          <w:tcPr>
            <w:tcW w:type="dxa" w:w="54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L3</w:t>
            </w:r>
          </w:p>
        </w:tc>
        <w:tc>
          <w:tcPr>
            <w:tcW w:type="dxa" w:w="25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FillProcessor</w:t>
            </w:r>
          </w:p>
        </w:tc>
        <w:tc>
          <w:tcPr>
            <w:tcW w:type="dxa" w:w="7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C++</w:t>
            </w:r>
          </w:p>
        </w:tc>
        <w:tc>
          <w:tcPr>
            <w:tcW w:type="dxa" w:w="54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2</w:t>
            </w:r>
          </w:p>
        </w:tc>
        <w:tc>
          <w:tcPr>
            <w:tcW w:type="dxa" w:w="16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0.20 ms</w:t>
            </w:r>
          </w:p>
        </w:tc>
        <w:tc>
          <w:tcPr>
            <w:tcW w:type="dxa" w:w="216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4 MB</w:t>
            </w:r>
          </w:p>
        </w:tc>
      </w:tr>
      <w:tr>
        <w:trPr>
          <w:cantSplit/>
        </w:trPr>
        <w:tc>
          <w:tcPr>
            <w:tcW w:type="dxa" w:w="54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L3</w:t>
            </w:r>
          </w:p>
        </w:tc>
        <w:tc>
          <w:tcPr>
            <w:tcW w:type="dxa" w:w="25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CancelProcessor</w:t>
            </w:r>
          </w:p>
        </w:tc>
        <w:tc>
          <w:tcPr>
            <w:tcW w:type="dxa" w:w="7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C++</w:t>
            </w:r>
          </w:p>
        </w:tc>
        <w:tc>
          <w:tcPr>
            <w:tcW w:type="dxa" w:w="54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2</w:t>
            </w:r>
          </w:p>
        </w:tc>
        <w:tc>
          <w:tcPr>
            <w:tcW w:type="dxa" w:w="16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0.10 ms</w:t>
            </w:r>
          </w:p>
        </w:tc>
        <w:tc>
          <w:tcPr>
            <w:tcW w:type="dxa" w:w="216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&lt;1 MB</w:t>
            </w:r>
          </w:p>
        </w:tc>
      </w:tr>
      <w:tr>
        <w:trPr>
          <w:cantSplit/>
        </w:trPr>
        <w:tc>
          <w:tcPr>
            <w:tcW w:type="dxa" w:w="54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L4</w:t>
            </w:r>
          </w:p>
        </w:tc>
        <w:tc>
          <w:tcPr>
            <w:tcW w:type="dxa" w:w="25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SlippageMonitor</w:t>
            </w:r>
          </w:p>
        </w:tc>
        <w:tc>
          <w:tcPr>
            <w:tcW w:type="dxa" w:w="7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C++</w:t>
            </w:r>
          </w:p>
        </w:tc>
        <w:tc>
          <w:tcPr>
            <w:tcW w:type="dxa" w:w="54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5</w:t>
            </w:r>
          </w:p>
        </w:tc>
        <w:tc>
          <w:tcPr>
            <w:tcW w:type="dxa" w:w="16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0.05 ms</w:t>
            </w:r>
          </w:p>
        </w:tc>
        <w:tc>
          <w:tcPr>
            <w:tcW w:type="dxa" w:w="216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4 MB</w:t>
            </w:r>
          </w:p>
        </w:tc>
      </w:tr>
      <w:tr>
        <w:trPr>
          <w:cantSplit/>
        </w:trPr>
        <w:tc>
          <w:tcPr>
            <w:tcW w:type="dxa" w:w="54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L4</w:t>
            </w:r>
          </w:p>
        </w:tc>
        <w:tc>
          <w:tcPr>
            <w:tcW w:type="dxa" w:w="25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EQS</w:t>
            </w:r>
          </w:p>
        </w:tc>
        <w:tc>
          <w:tcPr>
            <w:tcW w:type="dxa" w:w="7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C++</w:t>
            </w:r>
          </w:p>
        </w:tc>
        <w:tc>
          <w:tcPr>
            <w:tcW w:type="dxa" w:w="54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5</w:t>
            </w:r>
          </w:p>
        </w:tc>
        <w:tc>
          <w:tcPr>
            <w:tcW w:type="dxa" w:w="16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0.10 ms</w:t>
            </w:r>
          </w:p>
        </w:tc>
        <w:tc>
          <w:tcPr>
            <w:tcW w:type="dxa" w:w="216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2 MB</w:t>
            </w:r>
          </w:p>
        </w:tc>
      </w:tr>
      <w:tr>
        <w:trPr>
          <w:cantSplit/>
        </w:trPr>
        <w:tc>
          <w:tcPr>
            <w:tcW w:type="dxa" w:w="54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L4</w:t>
            </w:r>
          </w:p>
        </w:tc>
        <w:tc>
          <w:tcPr>
            <w:tcW w:type="dxa" w:w="25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TCACollector</w:t>
            </w:r>
          </w:p>
        </w:tc>
        <w:tc>
          <w:tcPr>
            <w:tcW w:type="dxa" w:w="7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Python</w:t>
            </w:r>
          </w:p>
        </w:tc>
        <w:tc>
          <w:tcPr>
            <w:tcW w:type="dxa" w:w="54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6</w:t>
            </w:r>
          </w:p>
        </w:tc>
        <w:tc>
          <w:tcPr>
            <w:tcW w:type="dxa" w:w="16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async</w:t>
            </w:r>
          </w:p>
        </w:tc>
        <w:tc>
          <w:tcPr>
            <w:tcW w:type="dxa" w:w="216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8 MB</w:t>
            </w:r>
          </w:p>
        </w:tc>
      </w:tr>
      <w:tr>
        <w:trPr>
          <w:cantSplit/>
        </w:trPr>
        <w:tc>
          <w:tcPr>
            <w:tcW w:type="dxa" w:w="54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L5</w:t>
            </w:r>
          </w:p>
        </w:tc>
        <w:tc>
          <w:tcPr>
            <w:tcW w:type="dxa" w:w="25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RetryManager</w:t>
            </w:r>
          </w:p>
        </w:tc>
        <w:tc>
          <w:tcPr>
            <w:tcW w:type="dxa" w:w="7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C++</w:t>
            </w:r>
          </w:p>
        </w:tc>
        <w:tc>
          <w:tcPr>
            <w:tcW w:type="dxa" w:w="54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5</w:t>
            </w:r>
          </w:p>
        </w:tc>
        <w:tc>
          <w:tcPr>
            <w:tcW w:type="dxa" w:w="16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0.05 ms</w:t>
            </w:r>
          </w:p>
        </w:tc>
        <w:tc>
          <w:tcPr>
            <w:tcW w:type="dxa" w:w="216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2 MB</w:t>
            </w:r>
          </w:p>
        </w:tc>
      </w:tr>
      <w:tr>
        <w:trPr>
          <w:cantSplit/>
        </w:trPr>
        <w:tc>
          <w:tcPr>
            <w:tcW w:type="dxa" w:w="54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L5</w:t>
            </w:r>
          </w:p>
        </w:tc>
        <w:tc>
          <w:tcPr>
            <w:tcW w:type="dxa" w:w="25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ReconciliationEngine</w:t>
            </w:r>
          </w:p>
        </w:tc>
        <w:tc>
          <w:tcPr>
            <w:tcW w:type="dxa" w:w="7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C++</w:t>
            </w:r>
          </w:p>
        </w:tc>
        <w:tc>
          <w:tcPr>
            <w:tcW w:type="dxa" w:w="54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5</w:t>
            </w:r>
          </w:p>
        </w:tc>
        <w:tc>
          <w:tcPr>
            <w:tcW w:type="dxa" w:w="16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0.50 ms</w:t>
            </w:r>
          </w:p>
        </w:tc>
        <w:tc>
          <w:tcPr>
            <w:tcW w:type="dxa" w:w="216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4 MB</w:t>
            </w:r>
          </w:p>
        </w:tc>
      </w:tr>
      <w:tr>
        <w:trPr>
          <w:cantSplit/>
        </w:trPr>
        <w:tc>
          <w:tcPr>
            <w:tcW w:type="dxa" w:w="54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L5</w:t>
            </w:r>
          </w:p>
        </w:tc>
        <w:tc>
          <w:tcPr>
            <w:tcW w:type="dxa" w:w="25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RejectionClassifier</w:t>
            </w:r>
          </w:p>
        </w:tc>
        <w:tc>
          <w:tcPr>
            <w:tcW w:type="dxa" w:w="7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C++</w:t>
            </w:r>
          </w:p>
        </w:tc>
        <w:tc>
          <w:tcPr>
            <w:tcW w:type="dxa" w:w="54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5</w:t>
            </w:r>
          </w:p>
        </w:tc>
        <w:tc>
          <w:tcPr>
            <w:tcW w:type="dxa" w:w="16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0.02 ms</w:t>
            </w:r>
          </w:p>
        </w:tc>
        <w:tc>
          <w:tcPr>
            <w:tcW w:type="dxa" w:w="216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&lt;1 MB</w:t>
            </w:r>
          </w:p>
        </w:tc>
      </w:tr>
      <w:tr>
        <w:trPr>
          <w:cantSplit/>
        </w:trPr>
        <w:tc>
          <w:tcPr>
            <w:tcW w:type="dxa" w:w="54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L6</w:t>
            </w:r>
          </w:p>
        </w:tc>
        <w:tc>
          <w:tcPr>
            <w:tcW w:type="dxa" w:w="25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AuditLogger</w:t>
            </w:r>
          </w:p>
        </w:tc>
        <w:tc>
          <w:tcPr>
            <w:tcW w:type="dxa" w:w="7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Python</w:t>
            </w:r>
          </w:p>
        </w:tc>
        <w:tc>
          <w:tcPr>
            <w:tcW w:type="dxa" w:w="54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7</w:t>
            </w:r>
          </w:p>
        </w:tc>
        <w:tc>
          <w:tcPr>
            <w:tcW w:type="dxa" w:w="16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async</w:t>
            </w:r>
          </w:p>
        </w:tc>
        <w:tc>
          <w:tcPr>
            <w:tcW w:type="dxa" w:w="216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16 MB</w:t>
            </w:r>
          </w:p>
        </w:tc>
      </w:tr>
      <w:tr>
        <w:trPr>
          <w:cantSplit/>
        </w:trPr>
        <w:tc>
          <w:tcPr>
            <w:tcW w:type="dxa" w:w="54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L6</w:t>
            </w:r>
          </w:p>
        </w:tc>
        <w:tc>
          <w:tcPr>
            <w:tcW w:type="dxa" w:w="25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MetricsExporter</w:t>
            </w:r>
          </w:p>
        </w:tc>
        <w:tc>
          <w:tcPr>
            <w:tcW w:type="dxa" w:w="7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Python</w:t>
            </w:r>
          </w:p>
        </w:tc>
        <w:tc>
          <w:tcPr>
            <w:tcW w:type="dxa" w:w="54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7</w:t>
            </w:r>
          </w:p>
        </w:tc>
        <w:tc>
          <w:tcPr>
            <w:tcW w:type="dxa" w:w="16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async</w:t>
            </w:r>
          </w:p>
        </w:tc>
        <w:tc>
          <w:tcPr>
            <w:tcW w:type="dxa" w:w="216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4 MB</w:t>
            </w:r>
          </w:p>
        </w:tc>
      </w:tr>
      <w:tr>
        <w:trPr>
          <w:cantSplit/>
        </w:trPr>
        <w:tc>
          <w:tcPr>
            <w:tcW w:type="dxa" w:w="54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L6</w:t>
            </w:r>
          </w:p>
        </w:tc>
        <w:tc>
          <w:tcPr>
            <w:tcW w:type="dxa" w:w="25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StateReplicator</w:t>
            </w:r>
          </w:p>
        </w:tc>
        <w:tc>
          <w:tcPr>
            <w:tcW w:type="dxa" w:w="7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Python</w:t>
            </w:r>
          </w:p>
        </w:tc>
        <w:tc>
          <w:tcPr>
            <w:tcW w:type="dxa" w:w="54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7</w:t>
            </w:r>
          </w:p>
        </w:tc>
        <w:tc>
          <w:tcPr>
            <w:tcW w:type="dxa" w:w="16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async</w:t>
            </w:r>
          </w:p>
        </w:tc>
        <w:tc>
          <w:tcPr>
            <w:tcW w:type="dxa" w:w="216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8 MB</w:t>
            </w:r>
          </w:p>
        </w:tc>
      </w:tr>
    </w:tbl>
    <w:p>
      <w:pPr>
        <w:spacing w:after="200"/>
      </w:pPr>
    </w:p>
    <w:p>
      <w:pPr>
        <w:pStyle w:val="Heading1"/>
        <w:pageBreakBefore/>
        <w:pBdr>
          <w:bottom w:val="single" w:color="C8102E" w:sz="18" w:space="4"/>
        </w:pBdr>
        <w:spacing w:after="240" w:before="480"/>
      </w:pPr>
      <w:bookmarkStart w:id="100017" w:name="_Toc100017"/>
      <w:r>
        <w:rPr>
          <w:rFonts w:ascii="Liberation Serif" w:cs="Liberation Serif" w:eastAsia="Liberation Serif" w:hAnsi="Liberation Serif"/>
          <w:b/>
          <w:bCs/>
          <w:color w:val="14213D"/>
          <w:sz w:val="40"/>
          <w:szCs w:val="40"/>
        </w:rPr>
        <w:t xml:space="preserve">Chapter 4 — Async Processing Model</w:t>
      </w:r>
      <w:bookmarkEnd w:id="100017"/>
    </w:p>
    <w:p>
      <w:pPr>
        <w:spacing w:after="160" w:line="312"/>
        <w:jc w:val="both"/>
      </w:pPr>
      <w:r>
        <w:rPr>
          <w:rFonts w:ascii="Liberation Serif" w:cs="Liberation Serif" w:eastAsia="Liberation Serif" w:hAnsi="Liberation Serif"/>
          <w:color w:val="14213D"/>
          <w:sz w:val="22"/>
          <w:szCs w:val="22"/>
        </w:rPr>
        <w:t xml:space="preserve">The IEE is built around an async-first architecture: no thread ever blocks waiting for I/O. The engine uses a custom event loop on each worker thread, built on Linux timerfd and eventfd file descriptors, polled via epoll. This eliminates the syscall overhead of condition variables and mutexes while preserving the ability to wait for I/O without busy-spinning. The hot-path thread (CPU 2-3) is the exception — it busy-spins on its SPSC ingress queue, because the latency cost of an epoll wakeup (typically 1-5 μs) exceeds the cost of the spin (a few hundred nanoseconds per cycle).</w:t>
      </w:r>
    </w:p>
    <w:p>
      <w:pPr>
        <w:pStyle w:val="Heading2"/>
        <w:spacing w:after="160" w:before="320"/>
      </w:pPr>
      <w:bookmarkStart w:id="100018" w:name="_Toc100018"/>
      <w:r>
        <w:rPr>
          <w:rFonts w:ascii="Liberation Serif" w:cs="Liberation Serif" w:eastAsia="Liberation Serif" w:hAnsi="Liberation Serif"/>
          <w:b/>
          <w:bCs/>
          <w:color w:val="14213D"/>
          <w:sz w:val="28"/>
          <w:szCs w:val="28"/>
        </w:rPr>
        <w:t xml:space="preserve">Lock-Free SPSC Queues</w:t>
      </w:r>
      <w:bookmarkEnd w:id="100018"/>
    </w:p>
    <w:p>
      <w:pPr>
        <w:spacing w:after="160" w:line="312"/>
        <w:jc w:val="both"/>
      </w:pPr>
      <w:r>
        <w:rPr>
          <w:rFonts w:ascii="Liberation Serif" w:cs="Liberation Serif" w:eastAsia="Liberation Serif" w:hAnsi="Liberation Serif"/>
          <w:color w:val="14213D"/>
          <w:sz w:val="22"/>
          <w:szCs w:val="22"/>
        </w:rPr>
        <w:t xml:space="preserve">Inter-thread communication uses lock-free single-producer single-consumer (SPSC) queues based on the moodycamel::ConcurrentQueue pattern. Each queue has a fixed capacity (typically 1024 or 4096 entries), pre-allocated at startup, with a single atomic load and store per operation. There are no locks, no condition variables, and no syscalls on the push/pop path. The queues use cache-line padding to prevent false sharing between producer and consumer, which is critical for achieving the sub-microsecond operation latency required by the hot path.</w:t>
      </w:r>
    </w:p>
    <w:p>
      <w:pPr>
        <w:spacing w:after="160" w:line="312"/>
        <w:jc w:val="both"/>
      </w:pPr>
      <w:r>
        <w:rPr>
          <w:rFonts w:ascii="Liberation Serif" w:cs="Liberation Serif" w:eastAsia="Liberation Serif" w:hAnsi="Liberation Serif"/>
          <w:color w:val="14213D"/>
          <w:sz w:val="22"/>
          <w:szCs w:val="22"/>
        </w:rPr>
        <w:t xml:space="preserve">The queue capacity is sized for worst-case burst scenarios. The signal ingress queue (depth 1024) can absorb a burst of 1024 signals before backpressure kicks in; at a sustained rate of 200 signals per second (the strategy coordinator's maximum output), this represents 5 seconds of buffer. The order dispatch queue (depth 256) can absorb a burst of 256 orders before backpressure; at 200 orders per second, this is 1.3 seconds of buffer. Backpressure is implemented as a drop-and-audit: if a queue is full, the producer drops the message, increments a Prometheus counter, and writes an audit log entry. We prefer dropping to blocking because a blocked producer cascades into a system-wide latency spike.</w:t>
      </w:r>
    </w:p>
    <w:p>
      <w:pPr>
        <w:pStyle w:val="Heading2"/>
        <w:spacing w:after="160" w:before="320"/>
      </w:pPr>
      <w:bookmarkStart w:id="100019" w:name="_Toc100019"/>
      <w:r>
        <w:rPr>
          <w:rFonts w:ascii="Liberation Serif" w:cs="Liberation Serif" w:eastAsia="Liberation Serif" w:hAnsi="Liberation Serif"/>
          <w:b/>
          <w:bCs/>
          <w:color w:val="14213D"/>
          <w:sz w:val="28"/>
          <w:szCs w:val="28"/>
        </w:rPr>
        <w:t xml:space="preserve">Event Loop Architecture</w:t>
      </w:r>
      <w:bookmarkEnd w:id="100019"/>
    </w:p>
    <w:p>
      <w:pPr>
        <w:spacing w:after="160" w:line="312"/>
        <w:jc w:val="both"/>
      </w:pPr>
      <w:r>
        <w:rPr>
          <w:rFonts w:ascii="Liberation Serif" w:cs="Liberation Serif" w:eastAsia="Liberation Serif" w:hAnsi="Liberation Serif"/>
          <w:color w:val="14213D"/>
          <w:sz w:val="22"/>
          <w:szCs w:val="22"/>
        </w:rPr>
        <w:t xml:space="preserve">Each non-hot-path worker thread runs an event loop built on epoll. The loop waits on three categories of file descriptors: (1) eventfd for inter-thread signaling (e.g., FillProcessor wakes AuditLogger when a new fill arrives), (2) timerfd for periodic tasks (e.g., ReconciliationEngine runs every 5 seconds via a timerfd), and (3) socket fds for network I/O (e.g., MT5 bridge connection). When epoll returns, the thread processes all ready file descriptors in a single batch, then returns to epoll_wait. This is the standard Linux async I/O pattern, optimized for throughput rather than minimum latency.</w:t>
      </w:r>
    </w:p>
    <w:p>
      <w:pPr>
        <w:spacing w:after="160" w:line="312"/>
        <w:jc w:val="both"/>
      </w:pPr>
      <w:r>
        <w:rPr>
          <w:rFonts w:ascii="Liberation Serif" w:cs="Liberation Serif" w:eastAsia="Liberation Serif" w:hAnsi="Liberation Serif"/>
          <w:color w:val="14213D"/>
          <w:sz w:val="22"/>
          <w:szCs w:val="22"/>
        </w:rPr>
        <w:t xml:space="preserve">The hot-path thread (CPU 2-3) does not use the event loop. Instead, it busy-spins on its SPSC ingress queue, processing messages as they arrive with sub-microsecond latency. When the queue is empty, it executes a "relax" instruction (e.g., PAUSE on x86) to reduce power consumption without yielding the CPU. This is the standard pattern for ultra-low-latency trading systems — the trade-off of higher CPU utilization (one core is permanently 100% utilized) is acceptable for the latency benefit.</w:t>
      </w:r>
    </w:p>
    <w:p>
      <w:pPr>
        <w:pStyle w:val="Heading2"/>
        <w:spacing w:after="160" w:before="320"/>
      </w:pPr>
      <w:bookmarkStart w:id="100020" w:name="_Toc100020"/>
      <w:r>
        <w:rPr>
          <w:rFonts w:ascii="Liberation Serif" w:cs="Liberation Serif" w:eastAsia="Liberation Serif" w:hAnsi="Liberation Serif"/>
          <w:b/>
          <w:bCs/>
          <w:color w:val="14213D"/>
          <w:sz w:val="28"/>
          <w:szCs w:val="28"/>
        </w:rPr>
        <w:t xml:space="preserve">Thread Model</w:t>
      </w:r>
      <w:bookmarkEnd w:id="100020"/>
    </w:p>
    <w:tbl>
      <w:tblPr>
        <w:tblW w:type="dxa" w:w="9000"/>
        <w:tblBorders>
          <w:top w:val="single" w:color="14213D" w:sz="6"/>
          <w:left w:val="single" w:color="CBD5E1" w:sz="4"/>
          <w:bottom w:val="single" w:color="14213D" w:sz="6"/>
          <w:right w:val="single" w:color="CBD5E1" w:sz="4"/>
          <w:insideH w:val="single" w:color="CBD5E1" w:sz="4"/>
          <w:insideV w:val="single" w:color="CBD5E1" w:sz="4"/>
        </w:tblBorders>
      </w:tblPr>
      <w:tblGrid>
        <w:gridCol w:w="100"/>
        <w:gridCol w:w="100"/>
        <w:gridCol w:w="100"/>
        <w:gridCol w:w="100"/>
        <w:gridCol w:w="100"/>
      </w:tblGrid>
      <w:tr>
        <w:trPr>
          <w:cantSplit/>
          <w:tblHeader/>
        </w:trPr>
        <w:tc>
          <w:tcPr>
            <w:tcW w:type="dxa" w:w="126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Thread</w:t>
            </w:r>
          </w:p>
        </w:tc>
        <w:tc>
          <w:tcPr>
            <w:tcW w:type="dxa" w:w="72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CPU</w:t>
            </w:r>
          </w:p>
        </w:tc>
        <w:tc>
          <w:tcPr>
            <w:tcW w:type="dxa" w:w="162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Priority</w:t>
            </w:r>
          </w:p>
        </w:tc>
        <w:tc>
          <w:tcPr>
            <w:tcW w:type="dxa" w:w="342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Role</w:t>
            </w:r>
          </w:p>
        </w:tc>
        <w:tc>
          <w:tcPr>
            <w:tcW w:type="dxa" w:w="198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Blocking?</w:t>
            </w:r>
          </w:p>
        </w:tc>
      </w:tr>
      <w:tr>
        <w:trPr>
          <w:cantSplit/>
        </w:trPr>
        <w:tc>
          <w:tcPr>
            <w:tcW w:type="dxa" w:w="126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hot-path</w:t>
            </w:r>
          </w:p>
        </w:tc>
        <w:tc>
          <w:tcPr>
            <w:tcW w:type="dxa" w:w="7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2-3</w:t>
            </w:r>
          </w:p>
        </w:tc>
        <w:tc>
          <w:tcPr>
            <w:tcW w:type="dxa" w:w="16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SCHED_FIFO 90</w:t>
            </w:r>
          </w:p>
        </w:tc>
        <w:tc>
          <w:tcPr>
            <w:tcW w:type="dxa" w:w="34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Order state machine + dispatch</w:t>
            </w:r>
          </w:p>
        </w:tc>
        <w:tc>
          <w:tcPr>
            <w:tcW w:type="dxa" w:w="19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No (busy-spin)</w:t>
            </w:r>
          </w:p>
        </w:tc>
      </w:tr>
      <w:tr>
        <w:trPr>
          <w:cantSplit/>
        </w:trPr>
        <w:tc>
          <w:tcPr>
            <w:tcW w:type="dxa" w:w="126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ingress</w:t>
            </w:r>
          </w:p>
        </w:tc>
        <w:tc>
          <w:tcPr>
            <w:tcW w:type="dxa" w:w="7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4</w:t>
            </w:r>
          </w:p>
        </w:tc>
        <w:tc>
          <w:tcPr>
            <w:tcW w:type="dxa" w:w="16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SCHED_FIFO 70</w:t>
            </w:r>
          </w:p>
        </w:tc>
        <w:tc>
          <w:tcPr>
            <w:tcW w:type="dxa" w:w="34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Tick + signal ingest, push to hot-path queue</w:t>
            </w:r>
          </w:p>
        </w:tc>
        <w:tc>
          <w:tcPr>
            <w:tcW w:type="dxa" w:w="19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No (epoll)</w:t>
            </w:r>
          </w:p>
        </w:tc>
      </w:tr>
      <w:tr>
        <w:trPr>
          <w:cantSplit/>
        </w:trPr>
        <w:tc>
          <w:tcPr>
            <w:tcW w:type="dxa" w:w="126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monitor</w:t>
            </w:r>
          </w:p>
        </w:tc>
        <w:tc>
          <w:tcPr>
            <w:tcW w:type="dxa" w:w="7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5</w:t>
            </w:r>
          </w:p>
        </w:tc>
        <w:tc>
          <w:tcPr>
            <w:tcW w:type="dxa" w:w="16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SCHED_OTHER 0</w:t>
            </w:r>
          </w:p>
        </w:tc>
        <w:tc>
          <w:tcPr>
            <w:tcW w:type="dxa" w:w="34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Slippage + EQS + retry + reconciliation</w:t>
            </w:r>
          </w:p>
        </w:tc>
        <w:tc>
          <w:tcPr>
            <w:tcW w:type="dxa" w:w="19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No (epoll)</w:t>
            </w:r>
          </w:p>
        </w:tc>
      </w:tr>
      <w:tr>
        <w:trPr>
          <w:cantSplit/>
        </w:trPr>
        <w:tc>
          <w:tcPr>
            <w:tcW w:type="dxa" w:w="126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bridge-tx</w:t>
            </w:r>
          </w:p>
        </w:tc>
        <w:tc>
          <w:tcPr>
            <w:tcW w:type="dxa" w:w="7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6</w:t>
            </w:r>
          </w:p>
        </w:tc>
        <w:tc>
          <w:tcPr>
            <w:tcW w:type="dxa" w:w="16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SCHED_FIFO 80</w:t>
            </w:r>
          </w:p>
        </w:tc>
        <w:tc>
          <w:tcPr>
            <w:tcW w:type="dxa" w:w="34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Send orders to MT5 via OrderSend()</w:t>
            </w:r>
          </w:p>
        </w:tc>
        <w:tc>
          <w:tcPr>
            <w:tcW w:type="dxa" w:w="19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Yes (MT5 blocking)</w:t>
            </w:r>
          </w:p>
        </w:tc>
      </w:tr>
      <w:tr>
        <w:trPr>
          <w:cantSplit/>
        </w:trPr>
        <w:tc>
          <w:tcPr>
            <w:tcW w:type="dxa" w:w="126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bridge-rx</w:t>
            </w:r>
          </w:p>
        </w:tc>
        <w:tc>
          <w:tcPr>
            <w:tcW w:type="dxa" w:w="7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6</w:t>
            </w:r>
          </w:p>
        </w:tc>
        <w:tc>
          <w:tcPr>
            <w:tcW w:type="dxa" w:w="16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SCHED_FIFO 80</w:t>
            </w:r>
          </w:p>
        </w:tc>
        <w:tc>
          <w:tcPr>
            <w:tcW w:type="dxa" w:w="34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Receive MT5 callbacks (OnTrade)</w:t>
            </w:r>
          </w:p>
        </w:tc>
        <w:tc>
          <w:tcPr>
            <w:tcW w:type="dxa" w:w="19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Yes (MT5 blocking)</w:t>
            </w:r>
          </w:p>
        </w:tc>
      </w:tr>
      <w:tr>
        <w:trPr>
          <w:cantSplit/>
        </w:trPr>
        <w:tc>
          <w:tcPr>
            <w:tcW w:type="dxa" w:w="126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audit</w:t>
            </w:r>
          </w:p>
        </w:tc>
        <w:tc>
          <w:tcPr>
            <w:tcW w:type="dxa" w:w="7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7</w:t>
            </w:r>
          </w:p>
        </w:tc>
        <w:tc>
          <w:tcPr>
            <w:tcW w:type="dxa" w:w="16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SCHED_OTHER 0</w:t>
            </w:r>
          </w:p>
        </w:tc>
        <w:tc>
          <w:tcPr>
            <w:tcW w:type="dxa" w:w="34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Batched WORM log writes</w:t>
            </w:r>
          </w:p>
        </w:tc>
        <w:tc>
          <w:tcPr>
            <w:tcW w:type="dxa" w:w="19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Yes (file I/O)</w:t>
            </w:r>
          </w:p>
        </w:tc>
      </w:tr>
      <w:tr>
        <w:trPr>
          <w:cantSplit/>
        </w:trPr>
        <w:tc>
          <w:tcPr>
            <w:tcW w:type="dxa" w:w="126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metrics</w:t>
            </w:r>
          </w:p>
        </w:tc>
        <w:tc>
          <w:tcPr>
            <w:tcW w:type="dxa" w:w="7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7</w:t>
            </w:r>
          </w:p>
        </w:tc>
        <w:tc>
          <w:tcPr>
            <w:tcW w:type="dxa" w:w="16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SCHED_OTHER 0</w:t>
            </w:r>
          </w:p>
        </w:tc>
        <w:tc>
          <w:tcPr>
            <w:tcW w:type="dxa" w:w="34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Prometheus scrape handler</w:t>
            </w:r>
          </w:p>
        </w:tc>
        <w:tc>
          <w:tcPr>
            <w:tcW w:type="dxa" w:w="19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No (epoll)</w:t>
            </w:r>
          </w:p>
        </w:tc>
      </w:tr>
      <w:tr>
        <w:trPr>
          <w:cantSplit/>
        </w:trPr>
        <w:tc>
          <w:tcPr>
            <w:tcW w:type="dxa" w:w="126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replicate</w:t>
            </w:r>
          </w:p>
        </w:tc>
        <w:tc>
          <w:tcPr>
            <w:tcW w:type="dxa" w:w="7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7</w:t>
            </w:r>
          </w:p>
        </w:tc>
        <w:tc>
          <w:tcPr>
            <w:tcW w:type="dxa" w:w="16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SCHED_OTHER 0</w:t>
            </w:r>
          </w:p>
        </w:tc>
        <w:tc>
          <w:tcPr>
            <w:tcW w:type="dxa" w:w="34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Redis hot-state sync to Z2</w:t>
            </w:r>
          </w:p>
        </w:tc>
        <w:tc>
          <w:tcPr>
            <w:tcW w:type="dxa" w:w="19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Yes (Redis I/O)</w:t>
            </w:r>
          </w:p>
        </w:tc>
      </w:tr>
    </w:tbl>
    <w:p>
      <w:pPr>
        <w:spacing w:after="200"/>
      </w:pPr>
    </w:p>
    <w:p>
      <w:pPr>
        <w:pStyle w:val="Heading2"/>
        <w:spacing w:after="160" w:before="320"/>
      </w:pPr>
      <w:bookmarkStart w:id="100021" w:name="_Toc100021"/>
      <w:r>
        <w:rPr>
          <w:rFonts w:ascii="Liberation Serif" w:cs="Liberation Serif" w:eastAsia="Liberation Serif" w:hAnsi="Liberation Serif"/>
          <w:b/>
          <w:bCs/>
          <w:color w:val="14213D"/>
          <w:sz w:val="28"/>
          <w:szCs w:val="28"/>
        </w:rPr>
        <w:t xml:space="preserve">Backpressure Strategy</w:t>
      </w:r>
      <w:bookmarkEnd w:id="100021"/>
    </w:p>
    <w:p>
      <w:pPr>
        <w:spacing w:after="160" w:line="312"/>
        <w:jc w:val="both"/>
      </w:pPr>
      <w:r>
        <w:rPr>
          <w:rFonts w:ascii="Liberation Serif" w:cs="Liberation Serif" w:eastAsia="Liberation Serif" w:hAnsi="Liberation Serif"/>
          <w:color w:val="14213D"/>
          <w:sz w:val="22"/>
          <w:szCs w:val="22"/>
        </w:rPr>
        <w:t xml:space="preserve">When a queue fills, the IEE applies backpressure rather than blocking. The strategy is tiered: first, the engine drops non-critical messages (e.g., EQS scoring can be skipped if the monitoring queue is full); second, it drops critical messages with audit logging and operator alert (e.g., a signal drop is audited and alerted); third, it engages the kill switch if the hot-path ingress queue remains full for more than 1 second (indicating a systemic issue). This progressive backpressure ensures the system degrades gracefully under load rather than crashing or compounding latency.</w:t>
      </w:r>
    </w:p>
    <w:p>
      <w:pPr>
        <w:pStyle w:val="Heading1"/>
        <w:pageBreakBefore/>
        <w:pBdr>
          <w:bottom w:val="single" w:color="C8102E" w:sz="18" w:space="4"/>
        </w:pBdr>
        <w:spacing w:after="240" w:before="480"/>
      </w:pPr>
      <w:bookmarkStart w:id="100022" w:name="_Toc100022"/>
      <w:r>
        <w:rPr>
          <w:rFonts w:ascii="Liberation Serif" w:cs="Liberation Serif" w:eastAsia="Liberation Serif" w:hAnsi="Liberation Serif"/>
          <w:b/>
          <w:bCs/>
          <w:color w:val="14213D"/>
          <w:sz w:val="40"/>
          <w:szCs w:val="40"/>
        </w:rPr>
        <w:t xml:space="preserve">Chapter 5 — Tick-Based Execution</w:t>
      </w:r>
      <w:bookmarkEnd w:id="100022"/>
    </w:p>
    <w:p>
      <w:pPr>
        <w:spacing w:after="160" w:line="312"/>
        <w:jc w:val="both"/>
      </w:pPr>
      <w:r>
        <w:rPr>
          <w:rFonts w:ascii="Liberation Serif" w:cs="Liberation Serif" w:eastAsia="Liberation Serif" w:hAnsi="Liberation Serif"/>
          <w:color w:val="14213D"/>
          <w:sz w:val="22"/>
          <w:szCs w:val="22"/>
        </w:rPr>
        <w:t xml:space="preserve">The IEE executes on ticks, not on a schedule. Every tick from the market data gateway triggers evaluation of pending signals whose preconditions may now be satisfied. This eliminates the latency floor imposed by polling (typically 10-100 ms in less-disciplined systems) and ensures the engine reacts to market changes within microseconds. The trade-off is higher CPU utilization — the hot-path thread is always busy — which we accept in exchange for the latency benefit.</w:t>
      </w:r>
    </w:p>
    <w:p>
      <w:pPr>
        <w:pStyle w:val="Heading2"/>
        <w:spacing w:after="160" w:before="320"/>
      </w:pPr>
      <w:bookmarkStart w:id="100023" w:name="_Toc100023"/>
      <w:r>
        <w:rPr>
          <w:rFonts w:ascii="Liberation Serif" w:cs="Liberation Serif" w:eastAsia="Liberation Serif" w:hAnsi="Liberation Serif"/>
          <w:b/>
          <w:bCs/>
          <w:color w:val="14213D"/>
          <w:sz w:val="28"/>
          <w:szCs w:val="28"/>
        </w:rPr>
        <w:t xml:space="preserve">Tick Path</w:t>
      </w:r>
      <w:bookmarkEnd w:id="100023"/>
    </w:p>
    <w:p>
      <w:pPr>
        <w:spacing w:after="160" w:line="312"/>
        <w:jc w:val="both"/>
      </w:pPr>
      <w:r>
        <w:rPr>
          <w:rFonts w:ascii="Liberation Serif" w:cs="Liberation Serif" w:eastAsia="Liberation Serif" w:hAnsi="Liberation Serif"/>
          <w:color w:val="14213D"/>
          <w:sz w:val="22"/>
          <w:szCs w:val="22"/>
        </w:rPr>
        <w:t xml:space="preserve">When a tick arrives, the TickIngestor (running on CPU 4) receives it via ZMQ SUB with zero-copy message transfer. The tick is pushed onto a 1,000,000-tick ring buffer for historical access, and an eventfd signal is sent to the hot-path thread (CPU 2-3) to wake it if it is idle. The hot-path thread processes the tick by: (1) updating the current price cache (used by OrderBuilder and SlippageMonitor), (2) evaluating any pending stop orders whose stop price has been crossed, (3) evaluating any pending limit orders whose limit price can now be filled, and (4) updating the spread statistics used by VenueSelector. All four operations are O(1) or O(log N) and complete in under 50 microseconds per tick.</w:t>
      </w:r>
    </w:p>
    <w:p>
      <w:pPr>
        <w:pStyle w:val="Heading2"/>
        <w:spacing w:after="160" w:before="320"/>
      </w:pPr>
      <w:bookmarkStart w:id="100024" w:name="_Toc100024"/>
      <w:r>
        <w:rPr>
          <w:rFonts w:ascii="Liberation Serif" w:cs="Liberation Serif" w:eastAsia="Liberation Serif" w:hAnsi="Liberation Serif"/>
          <w:b/>
          <w:bCs/>
          <w:color w:val="14213D"/>
          <w:sz w:val="28"/>
          <w:szCs w:val="28"/>
        </w:rPr>
        <w:t xml:space="preserve">Signal Evaluation</w:t>
      </w:r>
      <w:bookmarkEnd w:id="100024"/>
    </w:p>
    <w:p>
      <w:pPr>
        <w:spacing w:after="160" w:line="312"/>
        <w:jc w:val="both"/>
      </w:pPr>
      <w:r>
        <w:rPr>
          <w:rFonts w:ascii="Liberation Serif" w:cs="Liberation Serif" w:eastAsia="Liberation Serif" w:hAnsi="Liberation Serif"/>
          <w:color w:val="14213D"/>
          <w:sz w:val="22"/>
          <w:szCs w:val="22"/>
        </w:rPr>
        <w:t xml:space="preserve">When a signal arrives (from the Strategy Coordinator), the SignalIngestor pushes it onto the hot-path ingress queue. The hot-path thread processes the signal in the next iteration of its busy-spin loop: (1) IdempotencyGuard checks for duplicate client_id (Bloom filter + hashmap), (2) OrderBuilder constructs the Order object from the signal, (3) RiskGateClient makes a synchronous call to the RiskGate (running on a different core), (4) VenueSelector chooses the order type and venue, (5) OrderManager transitions the order to VALIDATED state, (6) OrderDispatcher pushes the order onto the bridge-tx queue for submission to MT5. The total signal-to-dispatch latency is 0.45 ms at p99.</w:t>
      </w:r>
    </w:p>
    <w:p>
      <w:pPr>
        <w:pStyle w:val="Heading2"/>
        <w:spacing w:after="160" w:before="320"/>
      </w:pPr>
      <w:bookmarkStart w:id="100025" w:name="_Toc100025"/>
      <w:r>
        <w:rPr>
          <w:rFonts w:ascii="Liberation Serif" w:cs="Liberation Serif" w:eastAsia="Liberation Serif" w:hAnsi="Liberation Serif"/>
          <w:b/>
          <w:bCs/>
          <w:color w:val="14213D"/>
          <w:sz w:val="28"/>
          <w:szCs w:val="28"/>
        </w:rPr>
        <w:t xml:space="preserve">Tick-Driven vs Time-Driven Decisions</w:t>
      </w:r>
      <w:bookmarkEnd w:id="100025"/>
    </w:p>
    <w:p>
      <w:pPr>
        <w:spacing w:after="160" w:line="312"/>
        <w:jc w:val="both"/>
      </w:pPr>
      <w:r>
        <w:rPr>
          <w:rFonts w:ascii="Liberation Serif" w:cs="Liberation Serif" w:eastAsia="Liberation Serif" w:hAnsi="Liberation Serif"/>
          <w:color w:val="14213D"/>
          <w:sz w:val="22"/>
          <w:szCs w:val="22"/>
        </w:rPr>
        <w:t xml:space="preserve">The IEE distinguishes between tick-driven decisions (evaluated on every tick) and time-driven decisions (evaluated on a schedule). Tick-driven decisions include stop-loss evaluation, take-profit evaluation, and trailing-stop adjustment — these must react to market movements immediately, so they are evaluated on every tick. Time-driven decisions include order timeout (TIF enforcement), reconciliation, and metric export — these can tolerate 100ms-1s of latency, so they run on timerfd schedules. This separation ensures that the hot path is not burdened with periodic work that doesn't need to be tick-driven.</w:t>
      </w:r>
    </w:p>
    <w:p>
      <w:pPr>
        <w:pStyle w:val="Heading2"/>
        <w:spacing w:after="160" w:before="320"/>
      </w:pPr>
      <w:bookmarkStart w:id="100026" w:name="_Toc100026"/>
      <w:r>
        <w:rPr>
          <w:rFonts w:ascii="Liberation Serif" w:cs="Liberation Serif" w:eastAsia="Liberation Serif" w:hAnsi="Liberation Serif"/>
          <w:b/>
          <w:bCs/>
          <w:color w:val="14213D"/>
          <w:sz w:val="28"/>
          <w:szCs w:val="28"/>
        </w:rPr>
        <w:t xml:space="preserve">Stop Order Evaluation Example</w:t>
      </w:r>
      <w:bookmarkEnd w:id="100026"/>
    </w:p>
    <w:p>
      <w:pPr>
        <w:pBdr>
          <w:left w:val="single" w:color="C8102E" w:sz="18" w:space="6"/>
        </w:pBdr>
        <w:shd w:fill="F8FAFC" w:color="auto" w:val="clear"/>
        <w:spacing w:after="200" w:before="120" w:line="240"/>
        <w:ind w:left="240" w:right="240"/>
      </w:pPr>
      <w:r>
        <w:rPr>
          <w:rFonts w:ascii="DejaVu Sans Mono" w:cs="DejaVu Sans Mono" w:eastAsia="DejaVu Sans Mono" w:hAnsi="DejaVu Sans Mono"/>
          <w:color w:val="14213D"/>
          <w:sz w:val="18"/>
          <w:szCs w:val="18"/>
        </w:rPr>
        <w:t xml:space="preserve">// Pseudo-code: tick-driven stop order evaluation (runs on hot-path thread)
// O(log N) where N = number of active stop orders
void HotPath::on_tick(const Tick&amp; tick) {
    current_price_ = tick.mid();
    // 1. Check buy-stop orders (triggered when price &gt;= stop_price)
    auto&amp; buy_stops = stop_book_.buys();
    auto it = buy_stops.lower_bound(tick.bid);
    while (it != buy_stops.end() &amp;&amp; it-&gt;first &lt;= tick.ask) {
        Order&amp; order = it-&gt;second;
        if (order.state() == OrderState::SENT) {
            // Convert stop -&gt; market, dispatch immediately
            order.convert_to_market();
            dispatcher_.submit(order);
        }
        ++it;
    }
    // 2. Check sell-stop orders (triggered when price &lt;= stop_price)
    // (similar logic, mirrored)
    // 3. Update trailing stops
    for (auto&amp; [id, order] : trailing_stops_) {
        order.update_trail(tick);
    }
    // 4. Update spread statistics (for VenueSelector)
    spread_stats_.update(tick.spread());
    // Total work: O(log N + M) where M = triggered stops
    // Typical: &lt; 5 us per tick
}</w:t>
      </w:r>
    </w:p>
    <w:p>
      <w:pPr>
        <w:pStyle w:val="Heading1"/>
        <w:pageBreakBefore/>
        <w:pBdr>
          <w:bottom w:val="single" w:color="C8102E" w:sz="18" w:space="4"/>
        </w:pBdr>
        <w:spacing w:after="240" w:before="480"/>
      </w:pPr>
      <w:bookmarkStart w:id="100027" w:name="_Toc100027"/>
      <w:r>
        <w:rPr>
          <w:rFonts w:ascii="Liberation Serif" w:cs="Liberation Serif" w:eastAsia="Liberation Serif" w:hAnsi="Liberation Serif"/>
          <w:b/>
          <w:bCs/>
          <w:color w:val="14213D"/>
          <w:sz w:val="40"/>
          <w:szCs w:val="40"/>
        </w:rPr>
        <w:t xml:space="preserve">Chapter 6 — End-to-End Execution Flow</w:t>
      </w:r>
      <w:bookmarkEnd w:id="100027"/>
    </w:p>
    <w:p>
      <w:pPr>
        <w:spacing w:after="160" w:line="312"/>
        <w:jc w:val="both"/>
      </w:pPr>
      <w:r>
        <w:rPr>
          <w:rFonts w:ascii="Liberation Serif" w:cs="Liberation Serif" w:eastAsia="Liberation Serif" w:hAnsi="Liberation Serif"/>
          <w:color w:val="14213D"/>
          <w:sz w:val="22"/>
          <w:szCs w:val="22"/>
        </w:rPr>
        <w:t xml:space="preserve">The flowchart in Figure 6.1 documents the complete end-to-end execution sequence, from signal arrival through to fill completion and EQS scoring. The flow shows the happy path (signal → risk approval → dispatch → fill → score) and the three primary failure paths (risk rejection, broker rejection with retry, and timeout with retry).</w:t>
      </w:r>
    </w:p>
    <w:p>
      <w:pPr>
        <w:spacing w:after="100" w:before="200"/>
        <w:jc w:val="center"/>
      </w:pPr>
      <w:r>
        <w:drawing>
          <wp:inline distT="0" distB="0" distL="0" distR="0">
            <wp:extent cx="5486400" cy="744582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7445829"/>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6.1 — End-to-end execution flow. Happy path: signal → risk → dispatch → fill → EQS. Three failure paths: risk reject, broker reject, submit timeout.</w:t>
      </w:r>
    </w:p>
    <w:p>
      <w:pPr>
        <w:pStyle w:val="Heading2"/>
        <w:spacing w:after="160" w:before="320"/>
      </w:pPr>
      <w:bookmarkStart w:id="100028" w:name="_Toc100028"/>
      <w:r>
        <w:rPr>
          <w:rFonts w:ascii="Liberation Serif" w:cs="Liberation Serif" w:eastAsia="Liberation Serif" w:hAnsi="Liberation Serif"/>
          <w:b/>
          <w:bCs/>
          <w:color w:val="14213D"/>
          <w:sz w:val="28"/>
          <w:szCs w:val="28"/>
        </w:rPr>
        <w:t xml:space="preserve">Happy Path Sequence</w:t>
      </w:r>
      <w:bookmarkEnd w:id="100028"/>
    </w:p>
    <w:p>
      <w:pPr>
        <w:spacing w:after="160" w:line="312"/>
        <w:jc w:val="both"/>
      </w:pPr>
      <w:r>
        <w:rPr>
          <w:rFonts w:ascii="Liberation Serif" w:cs="Liberation Serif" w:eastAsia="Liberation Serif" w:hAnsi="Liberation Serif"/>
          <w:color w:val="14213D"/>
          <w:sz w:val="22"/>
          <w:szCs w:val="22"/>
        </w:rPr>
        <w:t xml:space="preserve">On the happy path, a signal arrives at the SignalIngestor and is pushed onto the hot-path ingress queue. The hot-path thread picks it up within microseconds, runs IdempotencyGuard (Bloom filter check), OrderBuilder (signal → Order object), RiskGateClient (synchronous call to RiskGate, returns APPROVE), VenueSelector (chooses MKT order for this signal), and transitions the order to VALIDATED. The OrderDispatcher then pushes the order onto the bridge-tx queue. The bridge-tx thread (CPU 6) picks up the order and calls MT5 OrderSend(), which is the slowest operation in the pipeline (0.5 ms p50, 1.5 ms p99). When MT5 returns a fill, the bridge-rx thread (CPU 6) receives the OnTrade callback and pushes the fill event onto the hot-path ingress queue. The hot-path thread's FillProcessor updates the order state to FILLED, updates the Position aggregate, and publishes a FillEvent on the ZMQ bus. The SlippageMonitor and EQS (on CPU 5) consume the FillEvent asynchronously to compute slippage and quality score.</w:t>
      </w:r>
    </w:p>
    <w:p>
      <w:pPr>
        <w:pStyle w:val="Heading2"/>
        <w:spacing w:after="160" w:before="320"/>
      </w:pPr>
      <w:bookmarkStart w:id="100029" w:name="_Toc100029"/>
      <w:r>
        <w:rPr>
          <w:rFonts w:ascii="Liberation Serif" w:cs="Liberation Serif" w:eastAsia="Liberation Serif" w:hAnsi="Liberation Serif"/>
          <w:b/>
          <w:bCs/>
          <w:color w:val="14213D"/>
          <w:sz w:val="28"/>
          <w:szCs w:val="28"/>
        </w:rPr>
        <w:t xml:space="preserve">Failure Path 1 — Risk Rejection</w:t>
      </w:r>
      <w:bookmarkEnd w:id="100029"/>
    </w:p>
    <w:p>
      <w:pPr>
        <w:spacing w:after="160" w:line="312"/>
        <w:jc w:val="both"/>
      </w:pPr>
      <w:r>
        <w:rPr>
          <w:rFonts w:ascii="Liberation Serif" w:cs="Liberation Serif" w:eastAsia="Liberation Serif" w:hAnsi="Liberation Serif"/>
          <w:color w:val="14213D"/>
          <w:sz w:val="22"/>
          <w:szCs w:val="22"/>
        </w:rPr>
        <w:t xml:space="preserve">If the RiskGate returns REJECT (e.g., position size exceeds limit), the order is logged with the reject reason, audited, and the flow terminates. No broker call is made. The strategy coordinator is notified via the bus (so it can adjust future signals). This is the cheapest failure path — total latency is 0.45 ms (the risk gate call) and no broker resources are consumed.</w:t>
      </w:r>
    </w:p>
    <w:p>
      <w:pPr>
        <w:pStyle w:val="Heading2"/>
        <w:spacing w:after="160" w:before="320"/>
      </w:pPr>
      <w:bookmarkStart w:id="100030" w:name="_Toc100030"/>
      <w:r>
        <w:rPr>
          <w:rFonts w:ascii="Liberation Serif" w:cs="Liberation Serif" w:eastAsia="Liberation Serif" w:hAnsi="Liberation Serif"/>
          <w:b/>
          <w:bCs/>
          <w:color w:val="14213D"/>
          <w:sz w:val="28"/>
          <w:szCs w:val="28"/>
        </w:rPr>
        <w:t xml:space="preserve">Failure Path 2 — Broker Rejection with Retry</w:t>
      </w:r>
      <w:bookmarkEnd w:id="100030"/>
    </w:p>
    <w:p>
      <w:pPr>
        <w:spacing w:after="160" w:line="312"/>
        <w:jc w:val="both"/>
      </w:pPr>
      <w:r>
        <w:rPr>
          <w:rFonts w:ascii="Liberation Serif" w:cs="Liberation Serif" w:eastAsia="Liberation Serif" w:hAnsi="Liberation Serif"/>
          <w:color w:val="14213D"/>
          <w:sz w:val="22"/>
          <w:szCs w:val="22"/>
        </w:rPr>
        <w:t xml:space="preserve">If MT5 returns a rejection (e.g., REQUOTE, retcode 10004), the RejectionClassifier categorizes it as RETRYABLE. The RetryManager schedules a retry with exponential backoff (100 ms for the first retry, 300 ms for the second, 900 ms for the third, plus ±20 ms jitter). The order re-enters the NEW state with a new client_id (to avoid idempotency issues), and the flow restarts from OrderBuilder. After 3 retries, the order is aborted and the operator is notified via email. Total worst-case latency for a retried order is 1.36 seconds (3 retries with cumulative backoff), but the typical case is much faster (most retries succeed on the first attempt).</w:t>
      </w:r>
    </w:p>
    <w:p>
      <w:pPr>
        <w:pStyle w:val="Heading2"/>
        <w:spacing w:after="160" w:before="320"/>
      </w:pPr>
      <w:bookmarkStart w:id="100031" w:name="_Toc100031"/>
      <w:r>
        <w:rPr>
          <w:rFonts w:ascii="Liberation Serif" w:cs="Liberation Serif" w:eastAsia="Liberation Serif" w:hAnsi="Liberation Serif"/>
          <w:b/>
          <w:bCs/>
          <w:color w:val="14213D"/>
          <w:sz w:val="28"/>
          <w:szCs w:val="28"/>
        </w:rPr>
        <w:t xml:space="preserve">Failure Path 3 — Submit Timeout</w:t>
      </w:r>
      <w:bookmarkEnd w:id="100031"/>
    </w:p>
    <w:p>
      <w:pPr>
        <w:spacing w:after="160" w:line="312"/>
        <w:jc w:val="both"/>
      </w:pPr>
      <w:r>
        <w:rPr>
          <w:rFonts w:ascii="Liberation Serif" w:cs="Liberation Serif" w:eastAsia="Liberation Serif" w:hAnsi="Liberation Serif"/>
          <w:color w:val="14213D"/>
          <w:sz w:val="22"/>
          <w:szCs w:val="22"/>
        </w:rPr>
        <w:t xml:space="preserve">If MT5 OrderSend does not return within 2 seconds, the order is marked as ERROR and passed to the ReconciliationEngine. The engine queries MT5 for the order state: if MT5 has the order, it is adopted into local state and the flow continues from fill processing; if MT5 does not have the order, it is retried (treated as a transient failure). This path handles the case where the MT5 terminal is slow or unresponsive but not disconnected. If the bridge is fully disconnected (detected via heartbeat), all SENT orders are marked as ERROR and the kill switch is engaged.</w:t>
      </w:r>
    </w:p>
    <w:p>
      <w:pPr>
        <w:pStyle w:val="Heading1"/>
        <w:pageBreakBefore/>
        <w:pBdr>
          <w:bottom w:val="single" w:color="C8102E" w:sz="18" w:space="4"/>
        </w:pBdr>
        <w:spacing w:after="240" w:before="480"/>
      </w:pPr>
      <w:bookmarkStart w:id="100032" w:name="_Toc100032"/>
      <w:r>
        <w:rPr>
          <w:rFonts w:ascii="Liberation Serif" w:cs="Liberation Serif" w:eastAsia="Liberation Serif" w:hAnsi="Liberation Serif"/>
          <w:b/>
          <w:bCs/>
          <w:color w:val="14213D"/>
          <w:sz w:val="40"/>
          <w:szCs w:val="40"/>
        </w:rPr>
        <w:t xml:space="preserve">Chapter 7 — Order Lifecycle — State Machine</w:t>
      </w:r>
      <w:bookmarkEnd w:id="100032"/>
    </w:p>
    <w:p>
      <w:pPr>
        <w:spacing w:after="160" w:line="312"/>
        <w:jc w:val="both"/>
      </w:pPr>
      <w:r>
        <w:rPr>
          <w:rFonts w:ascii="Liberation Serif" w:cs="Liberation Serif" w:eastAsia="Liberation Serif" w:hAnsi="Liberation Serif"/>
          <w:color w:val="14213D"/>
          <w:sz w:val="22"/>
          <w:szCs w:val="22"/>
        </w:rPr>
        <w:t xml:space="preserve">The order lifecycle is modeled as a finite state machine with 7 states and 14 transitions. The state machine is the single source of truth for order state; all components that need to know an order's state query the OrderManager, which owns the FSM. State transitions are atomic (protected by a per-order spinlock) and audited (every transition is logged with before-state, after-state, trigger, and timestamp).</w:t>
      </w:r>
    </w:p>
    <w:p>
      <w:pPr>
        <w:spacing w:after="100" w:before="200"/>
        <w:jc w:val="center"/>
      </w:pPr>
      <w:r>
        <w:drawing>
          <wp:inline distT="0" distB="0" distL="0" distR="0">
            <wp:extent cx="594360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4086225"/>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7.1 — Order lifecycle state machine. 7 states (NEW, VALIDATED, SENT, PARTIAL, FILLED, CANCELED, REJECTED, EXPIRED, ERROR) with 14 transitions. 4 terminal states are double-ringed.</w:t>
      </w:r>
    </w:p>
    <w:p>
      <w:pPr>
        <w:pStyle w:val="Heading2"/>
        <w:spacing w:after="160" w:before="320"/>
      </w:pPr>
      <w:bookmarkStart w:id="100033" w:name="_Toc100033"/>
      <w:r>
        <w:rPr>
          <w:rFonts w:ascii="Liberation Serif" w:cs="Liberation Serif" w:eastAsia="Liberation Serif" w:hAnsi="Liberation Serif"/>
          <w:b/>
          <w:bCs/>
          <w:color w:val="14213D"/>
          <w:sz w:val="28"/>
          <w:szCs w:val="28"/>
        </w:rPr>
        <w:t xml:space="preserve">State Definitions</w:t>
      </w:r>
      <w:bookmarkEnd w:id="100033"/>
    </w:p>
    <w:p>
      <w:pPr>
        <w:pStyle w:val="Heading3"/>
        <w:spacing w:after="120" w:before="240"/>
      </w:pPr>
      <w:bookmarkStart w:id="100034" w:name="_Toc100034"/>
      <w:r>
        <w:rPr>
          <w:rFonts w:ascii="Liberation Serif" w:cs="Liberation Serif" w:eastAsia="Liberation Serif" w:hAnsi="Liberation Serif"/>
          <w:b/>
          <w:bCs/>
          <w:color w:val="C8102E"/>
          <w:sz w:val="24"/>
          <w:szCs w:val="24"/>
        </w:rPr>
        <w:t xml:space="preserve">NEW (initial)</w:t>
      </w:r>
      <w:bookmarkEnd w:id="100034"/>
    </w:p>
    <w:p>
      <w:pPr>
        <w:spacing w:after="160" w:line="312"/>
        <w:jc w:val="both"/>
      </w:pPr>
      <w:r>
        <w:rPr>
          <w:rFonts w:ascii="Liberation Serif" w:cs="Liberation Serif" w:eastAsia="Liberation Serif" w:hAnsi="Liberation Serif"/>
          <w:color w:val="14213D"/>
          <w:sz w:val="22"/>
          <w:szCs w:val="22"/>
        </w:rPr>
        <w:t xml:space="preserve">The order has been received from the strategy and assigned a client_id, but has not yet been validated by the risk gate. This is the entry state for every order.</w:t>
      </w:r>
    </w:p>
    <w:p>
      <w:pPr>
        <w:pStyle w:val="Heading3"/>
        <w:spacing w:after="120" w:before="240"/>
      </w:pPr>
      <w:bookmarkStart w:id="100035" w:name="_Toc100035"/>
      <w:r>
        <w:rPr>
          <w:rFonts w:ascii="Liberation Serif" w:cs="Liberation Serif" w:eastAsia="Liberation Serif" w:hAnsi="Liberation Serif"/>
          <w:b/>
          <w:bCs/>
          <w:color w:val="C8102E"/>
          <w:sz w:val="24"/>
          <w:szCs w:val="24"/>
        </w:rPr>
        <w:t xml:space="preserve">VALIDATED</w:t>
      </w:r>
      <w:bookmarkEnd w:id="100035"/>
    </w:p>
    <w:p>
      <w:pPr>
        <w:spacing w:after="160" w:line="312"/>
        <w:jc w:val="both"/>
      </w:pPr>
      <w:r>
        <w:rPr>
          <w:rFonts w:ascii="Liberation Serif" w:cs="Liberation Serif" w:eastAsia="Liberation Serif" w:hAnsi="Liberation Serif"/>
          <w:color w:val="14213D"/>
          <w:sz w:val="22"/>
          <w:szCs w:val="22"/>
        </w:rPr>
        <w:t xml:space="preserve">The risk gate has approved the order. The order has been built (type, TIF, price, qty assigned) and is ready for dispatch to the broker. A VALIDATED order can be canceled before dispatch (transition T04).</w:t>
      </w:r>
    </w:p>
    <w:p>
      <w:pPr>
        <w:pStyle w:val="Heading3"/>
        <w:spacing w:after="120" w:before="240"/>
      </w:pPr>
      <w:bookmarkStart w:id="100036" w:name="_Toc100036"/>
      <w:r>
        <w:rPr>
          <w:rFonts w:ascii="Liberation Serif" w:cs="Liberation Serif" w:eastAsia="Liberation Serif" w:hAnsi="Liberation Serif"/>
          <w:b/>
          <w:bCs/>
          <w:color w:val="C8102E"/>
          <w:sz w:val="24"/>
          <w:szCs w:val="24"/>
        </w:rPr>
        <w:t xml:space="preserve">SENT</w:t>
      </w:r>
      <w:bookmarkEnd w:id="100036"/>
    </w:p>
    <w:p>
      <w:pPr>
        <w:spacing w:after="160" w:line="312"/>
        <w:jc w:val="both"/>
      </w:pPr>
      <w:r>
        <w:rPr>
          <w:rFonts w:ascii="Liberation Serif" w:cs="Liberation Serif" w:eastAsia="Liberation Serif" w:hAnsi="Liberation Serif"/>
          <w:color w:val="14213D"/>
          <w:sz w:val="22"/>
          <w:szCs w:val="22"/>
        </w:rPr>
        <w:t xml:space="preserve">The order has been submitted to the broker via OrderSend(). A 2-second submit_timeout timer is started; if the broker does not respond within 2 seconds, the order transitions to ERROR (transition T10). From SENT, the order can transition to PARTIAL (partial fill), FILLED (full fill), REJECTED (broker reject), EXPIRED (TIF expired), CANCELED (operator cancel), or ERROR (timeout/disconnect).</w:t>
      </w:r>
    </w:p>
    <w:p>
      <w:pPr>
        <w:pStyle w:val="Heading3"/>
        <w:spacing w:after="120" w:before="240"/>
      </w:pPr>
      <w:bookmarkStart w:id="100037" w:name="_Toc100037"/>
      <w:r>
        <w:rPr>
          <w:rFonts w:ascii="Liberation Serif" w:cs="Liberation Serif" w:eastAsia="Liberation Serif" w:hAnsi="Liberation Serif"/>
          <w:b/>
          <w:bCs/>
          <w:color w:val="C8102E"/>
          <w:sz w:val="24"/>
          <w:szCs w:val="24"/>
        </w:rPr>
        <w:t xml:space="preserve">PARTIAL</w:t>
      </w:r>
      <w:bookmarkEnd w:id="100037"/>
    </w:p>
    <w:p>
      <w:pPr>
        <w:spacing w:after="160" w:line="312"/>
        <w:jc w:val="both"/>
      </w:pPr>
      <w:r>
        <w:rPr>
          <w:rFonts w:ascii="Liberation Serif" w:cs="Liberation Serif" w:eastAsia="Liberation Serif" w:hAnsi="Liberation Serif"/>
          <w:color w:val="14213D"/>
          <w:sz w:val="22"/>
          <w:szCs w:val="22"/>
        </w:rPr>
        <w:t xml:space="preserve">The broker has partially filled the order (qty_filled &lt; qty_requested). The residual quantity is tracked, and the order waits for either additional fills (→ FILLED via T11), operator cancel (→ CANCELED via T12), TIF expiry (→ EXPIRED via T13), or re-routing of the residual (→ SENT via T14, with a new client_id for the residual portion).</w:t>
      </w:r>
    </w:p>
    <w:p>
      <w:pPr>
        <w:pStyle w:val="Heading3"/>
        <w:spacing w:after="120" w:before="240"/>
      </w:pPr>
      <w:bookmarkStart w:id="100038" w:name="_Toc100038"/>
      <w:r>
        <w:rPr>
          <w:rFonts w:ascii="Liberation Serif" w:cs="Liberation Serif" w:eastAsia="Liberation Serif" w:hAnsi="Liberation Serif"/>
          <w:b/>
          <w:bCs/>
          <w:color w:val="C8102E"/>
          <w:sz w:val="24"/>
          <w:szCs w:val="24"/>
        </w:rPr>
        <w:t xml:space="preserve">FILLED (terminal, success)</w:t>
      </w:r>
      <w:bookmarkEnd w:id="100038"/>
    </w:p>
    <w:p>
      <w:pPr>
        <w:spacing w:after="160" w:line="312"/>
        <w:jc w:val="both"/>
      </w:pPr>
      <w:r>
        <w:rPr>
          <w:rFonts w:ascii="Liberation Serif" w:cs="Liberation Serif" w:eastAsia="Liberation Serif" w:hAnsi="Liberation Serif"/>
          <w:color w:val="14213D"/>
          <w:sz w:val="22"/>
          <w:szCs w:val="22"/>
        </w:rPr>
        <w:t xml:space="preserve">The order has been fully filled. The fill is recorded, the Position is updated, and the order is moved to the audit log. This is the success terminal state.</w:t>
      </w:r>
    </w:p>
    <w:p>
      <w:pPr>
        <w:pStyle w:val="Heading3"/>
        <w:spacing w:after="120" w:before="240"/>
      </w:pPr>
      <w:bookmarkStart w:id="100039" w:name="_Toc100039"/>
      <w:r>
        <w:rPr>
          <w:rFonts w:ascii="Liberation Serif" w:cs="Liberation Serif" w:eastAsia="Liberation Serif" w:hAnsi="Liberation Serif"/>
          <w:b/>
          <w:bCs/>
          <w:color w:val="C8102E"/>
          <w:sz w:val="24"/>
          <w:szCs w:val="24"/>
        </w:rPr>
        <w:t xml:space="preserve">CANCELED (terminal, operator)</w:t>
      </w:r>
      <w:bookmarkEnd w:id="100039"/>
    </w:p>
    <w:p>
      <w:pPr>
        <w:spacing w:after="160" w:line="312"/>
        <w:jc w:val="both"/>
      </w:pPr>
      <w:r>
        <w:rPr>
          <w:rFonts w:ascii="Liberation Serif" w:cs="Liberation Serif" w:eastAsia="Liberation Serif" w:hAnsi="Liberation Serif"/>
          <w:color w:val="14213D"/>
          <w:sz w:val="22"/>
          <w:szCs w:val="22"/>
        </w:rPr>
        <w:t xml:space="preserve">The order has been canceled by operator action. Any partial fills are retained in the Position; the unfilled portion is abandoned. This is a terminal state.</w:t>
      </w:r>
    </w:p>
    <w:p>
      <w:pPr>
        <w:pStyle w:val="Heading3"/>
        <w:spacing w:after="120" w:before="240"/>
      </w:pPr>
      <w:bookmarkStart w:id="100040" w:name="_Toc100040"/>
      <w:r>
        <w:rPr>
          <w:rFonts w:ascii="Liberation Serif" w:cs="Liberation Serif" w:eastAsia="Liberation Serif" w:hAnsi="Liberation Serif"/>
          <w:b/>
          <w:bCs/>
          <w:color w:val="C8102E"/>
          <w:sz w:val="24"/>
          <w:szCs w:val="24"/>
        </w:rPr>
        <w:t xml:space="preserve">REJECTED (terminal, failure)</w:t>
      </w:r>
      <w:bookmarkEnd w:id="100040"/>
    </w:p>
    <w:p>
      <w:pPr>
        <w:spacing w:after="160" w:line="312"/>
        <w:jc w:val="both"/>
      </w:pPr>
      <w:r>
        <w:rPr>
          <w:rFonts w:ascii="Liberation Serif" w:cs="Liberation Serif" w:eastAsia="Liberation Serif" w:hAnsi="Liberation Serif"/>
          <w:color w:val="14213D"/>
          <w:sz w:val="22"/>
          <w:szCs w:val="22"/>
        </w:rPr>
        <w:t xml:space="preserve">The order was rejected either by the risk gate (transition T02, before broker submission) or by the broker (transition T07, after submission). The rejection reason is recorded. This is a terminal state — rejected orders are not retried directly; instead, the RetryManager creates a new order (with a new client_id) if the rejection is retryable.</w:t>
      </w:r>
    </w:p>
    <w:p>
      <w:pPr>
        <w:pStyle w:val="Heading3"/>
        <w:spacing w:after="120" w:before="240"/>
      </w:pPr>
      <w:bookmarkStart w:id="100041" w:name="_Toc100041"/>
      <w:r>
        <w:rPr>
          <w:rFonts w:ascii="Liberation Serif" w:cs="Liberation Serif" w:eastAsia="Liberation Serif" w:hAnsi="Liberation Serif"/>
          <w:b/>
          <w:bCs/>
          <w:color w:val="C8102E"/>
          <w:sz w:val="24"/>
          <w:szCs w:val="24"/>
        </w:rPr>
        <w:t xml:space="preserve">EXPIRED (terminal, time)</w:t>
      </w:r>
      <w:bookmarkEnd w:id="100041"/>
    </w:p>
    <w:p>
      <w:pPr>
        <w:spacing w:after="160" w:line="312"/>
        <w:jc w:val="both"/>
      </w:pPr>
      <w:r>
        <w:rPr>
          <w:rFonts w:ascii="Liberation Serif" w:cs="Liberation Serif" w:eastAsia="Liberation Serif" w:hAnsi="Liberation Serif"/>
          <w:color w:val="14213D"/>
          <w:sz w:val="22"/>
          <w:szCs w:val="22"/>
        </w:rPr>
        <w:t xml:space="preserve">The order's Time-In-Force (IOC, FOK, or DAY) has expired before the order was filled. Any partial fills are retained; the unfilled portion is abandoned. This is a terminal state.</w:t>
      </w:r>
    </w:p>
    <w:p>
      <w:pPr>
        <w:pStyle w:val="Heading3"/>
        <w:spacing w:after="120" w:before="240"/>
      </w:pPr>
      <w:bookmarkStart w:id="100042" w:name="_Toc100042"/>
      <w:r>
        <w:rPr>
          <w:rFonts w:ascii="Liberation Serif" w:cs="Liberation Serif" w:eastAsia="Liberation Serif" w:hAnsi="Liberation Serif"/>
          <w:b/>
          <w:bCs/>
          <w:color w:val="C8102E"/>
          <w:sz w:val="24"/>
          <w:szCs w:val="24"/>
        </w:rPr>
        <w:t xml:space="preserve">ERROR (terminal, system)</w:t>
      </w:r>
      <w:bookmarkEnd w:id="100042"/>
    </w:p>
    <w:p>
      <w:pPr>
        <w:spacing w:after="160" w:line="312"/>
        <w:jc w:val="both"/>
      </w:pPr>
      <w:r>
        <w:rPr>
          <w:rFonts w:ascii="Liberation Serif" w:cs="Liberation Serif" w:eastAsia="Liberation Serif" w:hAnsi="Liberation Serif"/>
          <w:color w:val="14213D"/>
          <w:sz w:val="22"/>
          <w:szCs w:val="22"/>
        </w:rPr>
        <w:t xml:space="preserve">A system error occurred (submit timeout, bridge disconnect, unknown broker response). The order is reconciled against broker state; if reconciliation succeeds, the order may be re-classified to FILLED or CANCELED. If reconciliation fails, the order remains in ERROR and the operator is paged. This is a terminal state pending reconciliation.</w:t>
      </w:r>
    </w:p>
    <w:p>
      <w:pPr>
        <w:pStyle w:val="Heading2"/>
        <w:spacing w:after="160" w:before="320"/>
      </w:pPr>
      <w:bookmarkStart w:id="100043" w:name="_Toc100043"/>
      <w:r>
        <w:rPr>
          <w:rFonts w:ascii="Liberation Serif" w:cs="Liberation Serif" w:eastAsia="Liberation Serif" w:hAnsi="Liberation Serif"/>
          <w:b/>
          <w:bCs/>
          <w:color w:val="14213D"/>
          <w:sz w:val="28"/>
          <w:szCs w:val="28"/>
        </w:rPr>
        <w:t xml:space="preserve">Transition Reference</w:t>
      </w:r>
      <w:bookmarkEnd w:id="100043"/>
    </w:p>
    <w:p>
      <w:pPr>
        <w:spacing w:after="160" w:line="312"/>
        <w:jc w:val="both"/>
      </w:pPr>
      <w:r>
        <w:rPr>
          <w:rFonts w:ascii="Liberation Serif" w:cs="Liberation Serif" w:eastAsia="Liberation Serif" w:hAnsi="Liberation Serif"/>
          <w:color w:val="14213D"/>
          <w:sz w:val="22"/>
          <w:szCs w:val="22"/>
        </w:rPr>
        <w:t xml:space="preserve">The 14 transitions are documented in Figure 7.1. Each transition has a defined trigger, an action, and a reversibility property. Terminal transitions (to FILLED, CANCELED, REJECTED, EXPIRED, ERROR) are irreversible — once an order reaches a terminal state, it cannot leave. The only exception is ERROR, which can be re-classified to FILLED or CANCELED after successful reconciliation (this is not a state transition in the FSM sense, but a reclassification in the audit log).</w:t>
      </w:r>
    </w:p>
    <w:p>
      <w:pPr>
        <w:pStyle w:val="Heading2"/>
        <w:spacing w:after="160" w:before="320"/>
      </w:pPr>
      <w:bookmarkStart w:id="100044" w:name="_Toc100044"/>
      <w:r>
        <w:rPr>
          <w:rFonts w:ascii="Liberation Serif" w:cs="Liberation Serif" w:eastAsia="Liberation Serif" w:hAnsi="Liberation Serif"/>
          <w:b/>
          <w:bCs/>
          <w:color w:val="14213D"/>
          <w:sz w:val="28"/>
          <w:szCs w:val="28"/>
        </w:rPr>
        <w:t xml:space="preserve">FSM Invariants</w:t>
      </w:r>
      <w:bookmarkEnd w:id="100044"/>
    </w:p>
    <w:p>
      <w:pPr>
        <w:spacing w:after="160" w:line="312"/>
        <w:jc w:val="both"/>
      </w:pPr>
      <w:r>
        <w:rPr>
          <w:rFonts w:ascii="Liberation Serif" w:cs="Liberation Serif" w:eastAsia="Liberation Serif" w:hAnsi="Liberation Serif"/>
          <w:color w:val="14213D"/>
          <w:sz w:val="22"/>
          <w:szCs w:val="22"/>
        </w:rPr>
        <w:t xml:space="preserve">The FSM enforces several invariants that are verified by property-based tests in CI:</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Every order starts in NEW and ends in exactly one terminal state (FILLED, CANCELED, REJECTED, EXPIRED, or ERROR).</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An order can visit PARTIAL at most once (partial fills accumulate within the state, not across visits).</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Once SENT, an order cannot return to NEW or VALIDATED (no "un-dispatch").</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A terminal state cannot be exited (transitions from terminal states are forbidden).</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Every transition is audited with before-state, after-state, trigger, and timestamp.</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The OrderManager is the single owner of order state; no other component may modify state directly.</w:t>
      </w:r>
    </w:p>
    <w:p>
      <w:pPr>
        <w:pStyle w:val="Heading1"/>
        <w:pageBreakBefore/>
        <w:pBdr>
          <w:bottom w:val="single" w:color="C8102E" w:sz="18" w:space="4"/>
        </w:pBdr>
        <w:spacing w:after="240" w:before="480"/>
      </w:pPr>
      <w:bookmarkStart w:id="100045" w:name="_Toc100045"/>
      <w:r>
        <w:rPr>
          <w:rFonts w:ascii="Liberation Serif" w:cs="Liberation Serif" w:eastAsia="Liberation Serif" w:hAnsi="Liberation Serif"/>
          <w:b/>
          <w:bCs/>
          <w:color w:val="14213D"/>
          <w:sz w:val="40"/>
          <w:szCs w:val="40"/>
        </w:rPr>
        <w:t xml:space="preserve">Chapter 8 — Slippage Monitoring &amp; Execution Quality Scoring</w:t>
      </w:r>
      <w:bookmarkEnd w:id="100045"/>
    </w:p>
    <w:p>
      <w:pPr>
        <w:spacing w:after="160" w:line="312"/>
        <w:jc w:val="both"/>
      </w:pPr>
      <w:r>
        <w:rPr>
          <w:rFonts w:ascii="Liberation Serif" w:cs="Liberation Serif" w:eastAsia="Liberation Serif" w:hAnsi="Liberation Serif"/>
          <w:color w:val="14213D"/>
          <w:sz w:val="22"/>
          <w:szCs w:val="22"/>
        </w:rPr>
        <w:t xml:space="preserve">Slippage monitoring and execution quality scoring (EQS) are the IEE's quality feedback mechanisms. SlippageMonitor computes the difference between expected and realized fill prices on every fill, maintaining rolling statistics and flagging outliers. EQS produces a 0-100 score per order using a seven-factor weighted model, allowing operators and strategies to assess execution quality over time. Both run on the monitor thread (CPU 5), off the hot path, to avoid impacting latency.</w:t>
      </w:r>
    </w:p>
    <w:p>
      <w:pPr>
        <w:spacing w:after="100" w:before="200"/>
        <w:jc w:val="center"/>
      </w:pPr>
      <w:r>
        <w:drawing>
          <wp:inline distT="0" distB="0" distL="0" distR="0">
            <wp:extent cx="594360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4086225"/>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8.1 — (a) Slippage monitor pipeline; (b) EQS seven-factor weighted model with score bands.</w:t>
      </w:r>
    </w:p>
    <w:p>
      <w:pPr>
        <w:pStyle w:val="Heading2"/>
        <w:spacing w:after="160" w:before="320"/>
      </w:pPr>
      <w:bookmarkStart w:id="100046" w:name="_Toc100046"/>
      <w:r>
        <w:rPr>
          <w:rFonts w:ascii="Liberation Serif" w:cs="Liberation Serif" w:eastAsia="Liberation Serif" w:hAnsi="Liberation Serif"/>
          <w:b/>
          <w:bCs/>
          <w:color w:val="14213D"/>
          <w:sz w:val="28"/>
          <w:szCs w:val="28"/>
        </w:rPr>
        <w:t xml:space="preserve">Slippage Monitor</w:t>
      </w:r>
      <w:bookmarkEnd w:id="100046"/>
    </w:p>
    <w:p>
      <w:pPr>
        <w:spacing w:after="160" w:line="312"/>
        <w:jc w:val="both"/>
      </w:pPr>
      <w:r>
        <w:rPr>
          <w:rFonts w:ascii="Liberation Serif" w:cs="Liberation Serif" w:eastAsia="Liberation Serif" w:hAnsi="Liberation Serif"/>
          <w:color w:val="14213D"/>
          <w:sz w:val="22"/>
          <w:szCs w:val="22"/>
        </w:rPr>
        <w:t xml:space="preserve">When a fill arrives, the SlippageMonitor computes the expected fill price as the mid price at signal time, adjusted by half the spread for marketable orders (a market buy is expected to fill at ask, a market sell at bid). The slippage is then computed as (fill_price - expected_price) / expected_price, expressed in basis points. The monitor maintains a rolling 100-trade window with mean (μ), standard deviation (σ), and percentiles (p50, p95, p99). If a fill's slippage exceeds μ + 3σ, it is flagged as an outlier, triggering a P2 operator alert and a 1-hour position size reduction of 50%.</w:t>
      </w:r>
    </w:p>
    <w:p>
      <w:pPr>
        <w:pStyle w:val="Heading2"/>
        <w:spacing w:after="160" w:before="320"/>
      </w:pPr>
      <w:bookmarkStart w:id="100047" w:name="_Toc100047"/>
      <w:r>
        <w:rPr>
          <w:rFonts w:ascii="Liberation Serif" w:cs="Liberation Serif" w:eastAsia="Liberation Serif" w:hAnsi="Liberation Serif"/>
          <w:b/>
          <w:bCs/>
          <w:color w:val="14213D"/>
          <w:sz w:val="28"/>
          <w:szCs w:val="28"/>
        </w:rPr>
        <w:t xml:space="preserve">EQS — Seven-Factor Weighted Model</w:t>
      </w:r>
      <w:bookmarkEnd w:id="100047"/>
    </w:p>
    <w:p>
      <w:pPr>
        <w:spacing w:after="160" w:line="312"/>
        <w:jc w:val="both"/>
      </w:pPr>
      <w:r>
        <w:rPr>
          <w:rFonts w:ascii="Liberation Serif" w:cs="Liberation Serif" w:eastAsia="Liberation Serif" w:hAnsi="Liberation Serif"/>
          <w:color w:val="14213D"/>
          <w:sz w:val="22"/>
          <w:szCs w:val="22"/>
        </w:rPr>
        <w:t xml:space="preserve">The Execution Quality Score is computed for every order that reaches a terminal state (FILLED, CANCELED, REJECTED, EXPIRED, ERROR). The score is a weighted sum of seven factors, each normalized to [0, 100], with weights summing to 1.0:</w:t>
      </w:r>
    </w:p>
    <w:tbl>
      <w:tblPr>
        <w:tblW w:type="dxa" w:w="9000"/>
        <w:tblBorders>
          <w:top w:val="single" w:color="14213D" w:sz="6"/>
          <w:left w:val="single" w:color="CBD5E1" w:sz="4"/>
          <w:bottom w:val="single" w:color="14213D" w:sz="6"/>
          <w:right w:val="single" w:color="CBD5E1" w:sz="4"/>
          <w:insideH w:val="single" w:color="CBD5E1" w:sz="4"/>
          <w:insideV w:val="single" w:color="CBD5E1" w:sz="4"/>
        </w:tblBorders>
      </w:tblPr>
      <w:tblGrid>
        <w:gridCol w:w="100"/>
        <w:gridCol w:w="100"/>
        <w:gridCol w:w="100"/>
        <w:gridCol w:w="100"/>
      </w:tblGrid>
      <w:tr>
        <w:trPr>
          <w:cantSplit/>
          <w:tblHeader/>
        </w:trPr>
        <w:tc>
          <w:tcPr>
            <w:tcW w:type="dxa" w:w="180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Factor</w:t>
            </w:r>
          </w:p>
        </w:tc>
        <w:tc>
          <w:tcPr>
            <w:tcW w:type="dxa" w:w="90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Weight</w:t>
            </w:r>
          </w:p>
        </w:tc>
        <w:tc>
          <w:tcPr>
            <w:tcW w:type="dxa" w:w="450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What It Measures</w:t>
            </w:r>
          </w:p>
        </w:tc>
        <w:tc>
          <w:tcPr>
            <w:tcW w:type="dxa" w:w="180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Bad Trigger</w:t>
            </w:r>
          </w:p>
        </w:tc>
      </w:tr>
      <w:tr>
        <w:trPr>
          <w:cantSplit/>
        </w:trPr>
        <w:tc>
          <w:tcPr>
            <w:tcW w:type="dxa" w:w="18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F1 Slippage</w:t>
            </w:r>
          </w:p>
        </w:tc>
        <w:tc>
          <w:tcPr>
            <w:tcW w:type="dxa" w:w="9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0.25</w:t>
            </w:r>
          </w:p>
        </w:tc>
        <w:tc>
          <w:tcPr>
            <w:tcW w:type="dxa" w:w="45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Absolute slippage vs expected price</w:t>
            </w:r>
          </w:p>
        </w:tc>
        <w:tc>
          <w:tcPr>
            <w:tcW w:type="dxa" w:w="18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slip &gt; 3 bps</w:t>
            </w:r>
          </w:p>
        </w:tc>
      </w:tr>
      <w:tr>
        <w:trPr>
          <w:cantSplit/>
        </w:trPr>
        <w:tc>
          <w:tcPr>
            <w:tcW w:type="dxa" w:w="18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F2 Fill Latency</w:t>
            </w:r>
          </w:p>
        </w:tc>
        <w:tc>
          <w:tcPr>
            <w:tcW w:type="dxa" w:w="9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0.20</w:t>
            </w:r>
          </w:p>
        </w:tc>
        <w:tc>
          <w:tcPr>
            <w:tcW w:type="dxa" w:w="45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Time from submit to fill confirmation</w:t>
            </w:r>
          </w:p>
        </w:tc>
        <w:tc>
          <w:tcPr>
            <w:tcW w:type="dxa" w:w="18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L &gt; 250 ms (p95)</w:t>
            </w:r>
          </w:p>
        </w:tc>
      </w:tr>
      <w:tr>
        <w:trPr>
          <w:cantSplit/>
        </w:trPr>
        <w:tc>
          <w:tcPr>
            <w:tcW w:type="dxa" w:w="18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F3 Spread Capture</w:t>
            </w:r>
          </w:p>
        </w:tc>
        <w:tc>
          <w:tcPr>
            <w:tcW w:type="dxa" w:w="9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0.15</w:t>
            </w:r>
          </w:p>
        </w:tc>
        <w:tc>
          <w:tcPr>
            <w:tcW w:type="dxa" w:w="45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How favorably the fill compares to mid</w:t>
            </w:r>
          </w:p>
        </w:tc>
        <w:tc>
          <w:tcPr>
            <w:tcW w:type="dxa" w:w="18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fill at full spread</w:t>
            </w:r>
          </w:p>
        </w:tc>
      </w:tr>
      <w:tr>
        <w:trPr>
          <w:cantSplit/>
        </w:trPr>
        <w:tc>
          <w:tcPr>
            <w:tcW w:type="dxa" w:w="18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F4 Fill Completeness</w:t>
            </w:r>
          </w:p>
        </w:tc>
        <w:tc>
          <w:tcPr>
            <w:tcW w:type="dxa" w:w="9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0.15</w:t>
            </w:r>
          </w:p>
        </w:tc>
        <w:tc>
          <w:tcPr>
            <w:tcW w:type="dxa" w:w="45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Ratio of filled qty to requested qty</w:t>
            </w:r>
          </w:p>
        </w:tc>
        <w:tc>
          <w:tcPr>
            <w:tcW w:type="dxa" w:w="18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ratio &lt; 0.8</w:t>
            </w:r>
          </w:p>
        </w:tc>
      </w:tr>
      <w:tr>
        <w:trPr>
          <w:cantSplit/>
        </w:trPr>
        <w:tc>
          <w:tcPr>
            <w:tcW w:type="dxa" w:w="18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F5 Retry Penalty</w:t>
            </w:r>
          </w:p>
        </w:tc>
        <w:tc>
          <w:tcPr>
            <w:tcW w:type="dxa" w:w="9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0.10</w:t>
            </w:r>
          </w:p>
        </w:tc>
        <w:tc>
          <w:tcPr>
            <w:tcW w:type="dxa" w:w="45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Number of retries before success</w:t>
            </w:r>
          </w:p>
        </w:tc>
        <w:tc>
          <w:tcPr>
            <w:tcW w:type="dxa" w:w="18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avg retries &gt; 1.5</w:t>
            </w:r>
          </w:p>
        </w:tc>
      </w:tr>
      <w:tr>
        <w:trPr>
          <w:cantSplit/>
        </w:trPr>
        <w:tc>
          <w:tcPr>
            <w:tcW w:type="dxa" w:w="18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F6 Rejection Penalty</w:t>
            </w:r>
          </w:p>
        </w:tc>
        <w:tc>
          <w:tcPr>
            <w:tcW w:type="dxa" w:w="9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0.10</w:t>
            </w:r>
          </w:p>
        </w:tc>
        <w:tc>
          <w:tcPr>
            <w:tcW w:type="dxa" w:w="45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Whether the order was rejected</w:t>
            </w:r>
          </w:p>
        </w:tc>
        <w:tc>
          <w:tcPr>
            <w:tcW w:type="dxa" w:w="18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reject rate &gt; 10%</w:t>
            </w:r>
          </w:p>
        </w:tc>
      </w:tr>
      <w:tr>
        <w:trPr>
          <w:cantSplit/>
        </w:trPr>
        <w:tc>
          <w:tcPr>
            <w:tcW w:type="dxa" w:w="18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F7 Market Impact</w:t>
            </w:r>
          </w:p>
        </w:tc>
        <w:tc>
          <w:tcPr>
            <w:tcW w:type="dxa" w:w="9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0.05</w:t>
            </w:r>
          </w:p>
        </w:tc>
        <w:tc>
          <w:tcPr>
            <w:tcW w:type="dxa" w:w="45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Price movement 100ms after fill</w:t>
            </w:r>
          </w:p>
        </w:tc>
        <w:tc>
          <w:tcPr>
            <w:tcW w:type="dxa" w:w="18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Δmid &gt; 5 bps</w:t>
            </w:r>
          </w:p>
        </w:tc>
      </w:tr>
    </w:tbl>
    <w:p>
      <w:pPr>
        <w:spacing w:after="200"/>
      </w:pPr>
    </w:p>
    <w:p>
      <w:pPr>
        <w:pStyle w:val="Heading2"/>
        <w:spacing w:after="160" w:before="320"/>
      </w:pPr>
      <w:bookmarkStart w:id="100048" w:name="_Toc100048"/>
      <w:r>
        <w:rPr>
          <w:rFonts w:ascii="Liberation Serif" w:cs="Liberation Serif" w:eastAsia="Liberation Serif" w:hAnsi="Liberation Serif"/>
          <w:b/>
          <w:bCs/>
          <w:color w:val="14213D"/>
          <w:sz w:val="28"/>
          <w:szCs w:val="28"/>
        </w:rPr>
        <w:t xml:space="preserve">EQS Score Bands</w:t>
      </w:r>
      <w:bookmarkEnd w:id="100048"/>
    </w:p>
    <w:p>
      <w:pPr>
        <w:spacing w:after="160" w:line="312"/>
        <w:jc w:val="both"/>
      </w:pPr>
      <w:r>
        <w:rPr>
          <w:rFonts w:ascii="Liberation Serif" w:cs="Liberation Serif" w:eastAsia="Liberation Serif" w:hAnsi="Liberation Serif"/>
          <w:color w:val="14213D"/>
          <w:sz w:val="22"/>
          <w:szCs w:val="22"/>
        </w:rPr>
        <w:t xml:space="preserve">The composite EQS score is interpreted on five bands:</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90-100: EXCELLENT — execution matched or beat expectations. No action.</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75-89: GOOD — execution within normal parameters. No action.</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60-74: ACCEPTABLE — execution slightly below expectations. Monitor.</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40-59: POOR — execution significantly below expectations. Investigate root cause.</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0-39: CRITICAL — execution unacceptable. Auto-pause strategy; engage risk-off mode.</w:t>
      </w:r>
    </w:p>
    <w:p>
      <w:pPr>
        <w:pStyle w:val="Heading2"/>
        <w:spacing w:after="160" w:before="320"/>
      </w:pPr>
      <w:bookmarkStart w:id="100049" w:name="_Toc100049"/>
      <w:r>
        <w:rPr>
          <w:rFonts w:ascii="Liberation Serif" w:cs="Liberation Serif" w:eastAsia="Liberation Serif" w:hAnsi="Liberation Serif"/>
          <w:b/>
          <w:bCs/>
          <w:color w:val="14213D"/>
          <w:sz w:val="28"/>
          <w:szCs w:val="28"/>
        </w:rPr>
        <w:t xml:space="preserve">EQS Feedback Loop</w:t>
      </w:r>
      <w:bookmarkEnd w:id="100049"/>
    </w:p>
    <w:p>
      <w:pPr>
        <w:spacing w:after="160" w:line="312"/>
        <w:jc w:val="both"/>
      </w:pPr>
      <w:r>
        <w:rPr>
          <w:rFonts w:ascii="Liberation Serif" w:cs="Liberation Serif" w:eastAsia="Liberation Serif" w:hAnsi="Liberation Serif"/>
          <w:color w:val="14213D"/>
          <w:sz w:val="22"/>
          <w:szCs w:val="22"/>
        </w:rPr>
        <w:t xml:space="preserve">The EQS score feeds back into the system in three ways. First, the rolling 10-order average EQS is exposed as a Prometheus metric, allowing operators to monitor execution quality trends. Second, if the rolling average drops below 40 (CRITICAL), the IEE auto-pauses the strategy and engages risk-off mode, halting new orders until the operator intervenes. Third, the EQS score is published on the event bus, allowing the strategy coordinator to adjust its behavior — for example, reducing position size or switching from market to limit orders when execution quality is poor.</w:t>
      </w:r>
    </w:p>
    <w:p>
      <w:pPr>
        <w:pStyle w:val="Heading2"/>
        <w:spacing w:after="160" w:before="320"/>
      </w:pPr>
      <w:bookmarkStart w:id="100050" w:name="_Toc100050"/>
      <w:r>
        <w:rPr>
          <w:rFonts w:ascii="Liberation Serif" w:cs="Liberation Serif" w:eastAsia="Liberation Serif" w:hAnsi="Liberation Serif"/>
          <w:b/>
          <w:bCs/>
          <w:color w:val="14213D"/>
          <w:sz w:val="28"/>
          <w:szCs w:val="28"/>
        </w:rPr>
        <w:t xml:space="preserve">TCA — Transaction Cost Analysis</w:t>
      </w:r>
      <w:bookmarkEnd w:id="100050"/>
    </w:p>
    <w:p>
      <w:pPr>
        <w:spacing w:after="160" w:line="312"/>
        <w:jc w:val="both"/>
      </w:pPr>
      <w:r>
        <w:rPr>
          <w:rFonts w:ascii="Liberation Serif" w:cs="Liberation Serif" w:eastAsia="Liberation Serif" w:hAnsi="Liberation Serif"/>
          <w:color w:val="14213D"/>
          <w:sz w:val="22"/>
          <w:szCs w:val="22"/>
        </w:rPr>
        <w:t xml:space="preserve">The TCACollector aggregates transaction cost data for the daily operator report. For each order, it records the spread cost (half-spread × qty), commission cost (commission rate × notional), and slippage cost (|fill - expected| × qty). The daily report aggregates these across all orders, broken down by symbol, strategy, and venue. The report is emailed to the operator and uploaded to the investor portal at 00:30 UTC daily.</w:t>
      </w:r>
    </w:p>
    <w:p>
      <w:pPr>
        <w:pStyle w:val="Heading1"/>
        <w:pageBreakBefore/>
        <w:pBdr>
          <w:bottom w:val="single" w:color="C8102E" w:sz="18" w:space="4"/>
        </w:pBdr>
        <w:spacing w:after="240" w:before="480"/>
      </w:pPr>
      <w:bookmarkStart w:id="100051" w:name="_Toc100051"/>
      <w:r>
        <w:rPr>
          <w:rFonts w:ascii="Liberation Serif" w:cs="Liberation Serif" w:eastAsia="Liberation Serif" w:hAnsi="Liberation Serif"/>
          <w:b/>
          <w:bCs/>
          <w:color w:val="14213D"/>
          <w:sz w:val="40"/>
          <w:szCs w:val="40"/>
        </w:rPr>
        <w:t xml:space="preserve">Chapter 9 — Order Retry System</w:t>
      </w:r>
      <w:bookmarkEnd w:id="100051"/>
    </w:p>
    <w:p>
      <w:pPr>
        <w:spacing w:after="160" w:line="312"/>
        <w:jc w:val="both"/>
      </w:pPr>
      <w:r>
        <w:rPr>
          <w:rFonts w:ascii="Liberation Serif" w:cs="Liberation Serif" w:eastAsia="Liberation Serif" w:hAnsi="Liberation Serif"/>
          <w:color w:val="14213D"/>
          <w:sz w:val="22"/>
          <w:szCs w:val="22"/>
        </w:rPr>
        <w:t xml:space="preserve">The RetryManager implements automatic retry of failed orders with exponential backoff and jitter. The retry budget is 3 per order — after 3 retries, the order is aborted and the operator is notified. The backoff schedule is 100ms / 300ms / 900ms (capped at 2000ms for any subsequent retry), plus ±20ms uniform jitter to avoid thundering-herd effects when many orders fail simultaneously.</w:t>
      </w:r>
    </w:p>
    <w:p>
      <w:pPr>
        <w:pStyle w:val="Heading2"/>
        <w:spacing w:after="160" w:before="320"/>
      </w:pPr>
      <w:bookmarkStart w:id="100052" w:name="_Toc100052"/>
      <w:r>
        <w:rPr>
          <w:rFonts w:ascii="Liberation Serif" w:cs="Liberation Serif" w:eastAsia="Liberation Serif" w:hAnsi="Liberation Serif"/>
          <w:b/>
          <w:bCs/>
          <w:color w:val="14213D"/>
          <w:sz w:val="28"/>
          <w:szCs w:val="28"/>
        </w:rPr>
        <w:t xml:space="preserve">Retry Strategy</w:t>
      </w:r>
      <w:bookmarkEnd w:id="100052"/>
    </w:p>
    <w:p>
      <w:pPr>
        <w:spacing w:after="160" w:line="312"/>
        <w:jc w:val="both"/>
      </w:pPr>
      <w:r>
        <w:rPr>
          <w:rFonts w:ascii="Liberation Serif" w:cs="Liberation Serif" w:eastAsia="Liberation Serif" w:hAnsi="Liberation Serif"/>
          <w:color w:val="14213D"/>
          <w:sz w:val="22"/>
          <w:szCs w:val="22"/>
        </w:rPr>
        <w:t xml:space="preserve">The retry strategy is designed to handle transient failures (broker requotes, momentary price gaps, brief network hiccups) without overwhelming the broker. The exponential backoff gives the broker time to recover between retries, and the jitter ensures that if many orders fail at the same time (e.g., during a news event), they don't all retry at the same instant. The budget of 3 retries is calibrated to balance recovery probability against total latency: most transient failures recover on the first retry, and the third retry catches the long tail. Beyond 3 retries, the failure is likely persistent (e.g., broker is down) and operator intervention is required.</w:t>
      </w:r>
    </w:p>
    <w:p>
      <w:pPr>
        <w:pStyle w:val="Heading2"/>
        <w:spacing w:after="160" w:before="320"/>
      </w:pPr>
      <w:bookmarkStart w:id="100053" w:name="_Toc100053"/>
      <w:r>
        <w:rPr>
          <w:rFonts w:ascii="Liberation Serif" w:cs="Liberation Serif" w:eastAsia="Liberation Serif" w:hAnsi="Liberation Serif"/>
          <w:b/>
          <w:bCs/>
          <w:color w:val="14213D"/>
          <w:sz w:val="28"/>
          <w:szCs w:val="28"/>
        </w:rPr>
        <w:t xml:space="preserve">Backoff Schedule</w:t>
      </w:r>
      <w:bookmarkEnd w:id="100053"/>
    </w:p>
    <w:tbl>
      <w:tblPr>
        <w:tblW w:type="dxa" w:w="9000"/>
        <w:tblBorders>
          <w:top w:val="single" w:color="14213D" w:sz="6"/>
          <w:left w:val="single" w:color="CBD5E1" w:sz="4"/>
          <w:bottom w:val="single" w:color="14213D" w:sz="6"/>
          <w:right w:val="single" w:color="CBD5E1" w:sz="4"/>
          <w:insideH w:val="single" w:color="CBD5E1" w:sz="4"/>
          <w:insideV w:val="single" w:color="CBD5E1" w:sz="4"/>
        </w:tblBorders>
      </w:tblPr>
      <w:tblGrid>
        <w:gridCol w:w="100"/>
        <w:gridCol w:w="100"/>
        <w:gridCol w:w="100"/>
        <w:gridCol w:w="100"/>
        <w:gridCol w:w="100"/>
        <w:gridCol w:w="100"/>
      </w:tblGrid>
      <w:tr>
        <w:trPr>
          <w:cantSplit/>
          <w:tblHeader/>
        </w:trPr>
        <w:tc>
          <w:tcPr>
            <w:tcW w:type="dxa" w:w="90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Retry #</w:t>
            </w:r>
          </w:p>
        </w:tc>
        <w:tc>
          <w:tcPr>
            <w:tcW w:type="dxa" w:w="126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Base Delay</w:t>
            </w:r>
          </w:p>
        </w:tc>
        <w:tc>
          <w:tcPr>
            <w:tcW w:type="dxa" w:w="126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Jitter (±)</w:t>
            </w:r>
          </w:p>
        </w:tc>
        <w:tc>
          <w:tcPr>
            <w:tcW w:type="dxa" w:w="162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Total Delay</w:t>
            </w:r>
          </w:p>
        </w:tc>
        <w:tc>
          <w:tcPr>
            <w:tcW w:type="dxa" w:w="162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Cumulative</w:t>
            </w:r>
          </w:p>
        </w:tc>
        <w:tc>
          <w:tcPr>
            <w:tcW w:type="dxa" w:w="234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Action on Failure</w:t>
            </w:r>
          </w:p>
        </w:tc>
      </w:tr>
      <w:tr>
        <w:trPr>
          <w:cantSplit/>
        </w:trPr>
        <w:tc>
          <w:tcPr>
            <w:tcW w:type="dxa" w:w="9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1</w:t>
            </w:r>
          </w:p>
        </w:tc>
        <w:tc>
          <w:tcPr>
            <w:tcW w:type="dxa" w:w="126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100 ms</w:t>
            </w:r>
          </w:p>
        </w:tc>
        <w:tc>
          <w:tcPr>
            <w:tcW w:type="dxa" w:w="126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20 ms</w:t>
            </w:r>
          </w:p>
        </w:tc>
        <w:tc>
          <w:tcPr>
            <w:tcW w:type="dxa" w:w="16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80-120 ms</w:t>
            </w:r>
          </w:p>
        </w:tc>
        <w:tc>
          <w:tcPr>
            <w:tcW w:type="dxa" w:w="16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~100 ms</w:t>
            </w:r>
          </w:p>
        </w:tc>
        <w:tc>
          <w:tcPr>
            <w:tcW w:type="dxa" w:w="234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Schedule retry 2</w:t>
            </w:r>
          </w:p>
        </w:tc>
      </w:tr>
      <w:tr>
        <w:trPr>
          <w:cantSplit/>
        </w:trPr>
        <w:tc>
          <w:tcPr>
            <w:tcW w:type="dxa" w:w="9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2</w:t>
            </w:r>
          </w:p>
        </w:tc>
        <w:tc>
          <w:tcPr>
            <w:tcW w:type="dxa" w:w="126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300 ms</w:t>
            </w:r>
          </w:p>
        </w:tc>
        <w:tc>
          <w:tcPr>
            <w:tcW w:type="dxa" w:w="126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20 ms</w:t>
            </w:r>
          </w:p>
        </w:tc>
        <w:tc>
          <w:tcPr>
            <w:tcW w:type="dxa" w:w="16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280-320 ms</w:t>
            </w:r>
          </w:p>
        </w:tc>
        <w:tc>
          <w:tcPr>
            <w:tcW w:type="dxa" w:w="16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~420 ms</w:t>
            </w:r>
          </w:p>
        </w:tc>
        <w:tc>
          <w:tcPr>
            <w:tcW w:type="dxa" w:w="234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Schedule retry 3</w:t>
            </w:r>
          </w:p>
        </w:tc>
      </w:tr>
      <w:tr>
        <w:trPr>
          <w:cantSplit/>
        </w:trPr>
        <w:tc>
          <w:tcPr>
            <w:tcW w:type="dxa" w:w="9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3</w:t>
            </w:r>
          </w:p>
        </w:tc>
        <w:tc>
          <w:tcPr>
            <w:tcW w:type="dxa" w:w="126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900 ms</w:t>
            </w:r>
          </w:p>
        </w:tc>
        <w:tc>
          <w:tcPr>
            <w:tcW w:type="dxa" w:w="126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20 ms</w:t>
            </w:r>
          </w:p>
        </w:tc>
        <w:tc>
          <w:tcPr>
            <w:tcW w:type="dxa" w:w="16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880-920 ms</w:t>
            </w:r>
          </w:p>
        </w:tc>
        <w:tc>
          <w:tcPr>
            <w:tcW w:type="dxa" w:w="16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~1.34 s</w:t>
            </w:r>
          </w:p>
        </w:tc>
        <w:tc>
          <w:tcPr>
            <w:tcW w:type="dxa" w:w="234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ABORT · notify operator</w:t>
            </w:r>
          </w:p>
        </w:tc>
      </w:tr>
      <w:tr>
        <w:trPr>
          <w:cantSplit/>
        </w:trPr>
        <w:tc>
          <w:tcPr>
            <w:tcW w:type="dxa" w:w="9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4+ (capped)</w:t>
            </w:r>
          </w:p>
        </w:tc>
        <w:tc>
          <w:tcPr>
            <w:tcW w:type="dxa" w:w="126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2000 ms</w:t>
            </w:r>
          </w:p>
        </w:tc>
        <w:tc>
          <w:tcPr>
            <w:tcW w:type="dxa" w:w="126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20 ms</w:t>
            </w:r>
          </w:p>
        </w:tc>
        <w:tc>
          <w:tcPr>
            <w:tcW w:type="dxa" w:w="16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1980-2020 ms</w:t>
            </w:r>
          </w:p>
        </w:tc>
        <w:tc>
          <w:tcPr>
            <w:tcW w:type="dxa" w:w="16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N/A</w:t>
            </w:r>
          </w:p>
        </w:tc>
        <w:tc>
          <w:tcPr>
            <w:tcW w:type="dxa" w:w="234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(not reached; budget=3)</w:t>
            </w:r>
          </w:p>
        </w:tc>
      </w:tr>
    </w:tbl>
    <w:p>
      <w:pPr>
        <w:spacing w:after="200"/>
      </w:pPr>
    </w:p>
    <w:p>
      <w:pPr>
        <w:pStyle w:val="Heading2"/>
        <w:spacing w:after="160" w:before="320"/>
      </w:pPr>
      <w:bookmarkStart w:id="100054" w:name="_Toc100054"/>
      <w:r>
        <w:rPr>
          <w:rFonts w:ascii="Liberation Serif" w:cs="Liberation Serif" w:eastAsia="Liberation Serif" w:hAnsi="Liberation Serif"/>
          <w:b/>
          <w:bCs/>
          <w:color w:val="14213D"/>
          <w:sz w:val="28"/>
          <w:szCs w:val="28"/>
        </w:rPr>
        <w:t xml:space="preserve">Retry Eligibility</w:t>
      </w:r>
      <w:bookmarkEnd w:id="100054"/>
    </w:p>
    <w:p>
      <w:pPr>
        <w:spacing w:after="160" w:line="312"/>
        <w:jc w:val="both"/>
      </w:pPr>
      <w:r>
        <w:rPr>
          <w:rFonts w:ascii="Liberation Serif" w:cs="Liberation Serif" w:eastAsia="Liberation Serif" w:hAnsi="Liberation Serif"/>
          <w:color w:val="14213D"/>
          <w:sz w:val="22"/>
          <w:szCs w:val="22"/>
        </w:rPr>
        <w:t xml:space="preserve">Not all failures are retryable. The RejectionClassifier determines retry eligibility based on the MT5 return code:</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RETRYABLE (auto-retry): REQUOTE (10004), PRICE_OFF (10015), NO_PRICES (10019), TOO_MANY_REQ (10024). These are transient and likely to succeed on retry.</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SOFT (reduce size, then retry once): PRICE_CHANGED (10008), INVALID_VOLUME (10013), NO_MONEY (10014). These indicate the order was nearly valid; reducing size 50% and retrying often succeeds.</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FATAL (abort, do not retry): MARKET_CLOSED (10018), BROKER_BLOCKED (10026), DISABLED, NO_CONNECTION. These indicate the broker cannot accept any order; retrying is futile.</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UNKNOWN (abort): any unrecognized retcode. Conservative default — do not retry what we don't understand.</w:t>
      </w:r>
    </w:p>
    <w:p>
      <w:pPr>
        <w:pStyle w:val="Heading2"/>
        <w:spacing w:after="160" w:before="320"/>
      </w:pPr>
      <w:bookmarkStart w:id="100055" w:name="_Toc100055"/>
      <w:r>
        <w:rPr>
          <w:rFonts w:ascii="Liberation Serif" w:cs="Liberation Serif" w:eastAsia="Liberation Serif" w:hAnsi="Liberation Serif"/>
          <w:b/>
          <w:bCs/>
          <w:color w:val="14213D"/>
          <w:sz w:val="28"/>
          <w:szCs w:val="28"/>
        </w:rPr>
        <w:t xml:space="preserve">Retry Mechanics</w:t>
      </w:r>
      <w:bookmarkEnd w:id="100055"/>
    </w:p>
    <w:p>
      <w:pPr>
        <w:spacing w:after="160" w:line="312"/>
        <w:jc w:val="both"/>
      </w:pPr>
      <w:r>
        <w:rPr>
          <w:rFonts w:ascii="Liberation Serif" w:cs="Liberation Serif" w:eastAsia="Liberation Serif" w:hAnsi="Liberation Serif"/>
          <w:color w:val="14213D"/>
          <w:sz w:val="22"/>
          <w:szCs w:val="22"/>
        </w:rPr>
        <w:t xml:space="preserve">When a retry is scheduled, the RetryManager creates a new Order object with a new client_id (to avoid idempotency conflicts) but otherwise identical parameters (except for SOFT retries, where the size is reduced 50%). The new order enters the NEW state and flows through the normal pipeline. The original order remains in its terminal state (REJECTED or ERROR) for audit purposes. The retry counter is tracked by client_id lineage: each retry knows which original order it descends from, allowing the RetryManager to enforce the budget of 3 across the retry chain.</w:t>
      </w:r>
    </w:p>
    <w:p>
      <w:pPr>
        <w:pStyle w:val="Heading2"/>
        <w:spacing w:after="160" w:before="320"/>
      </w:pPr>
      <w:bookmarkStart w:id="100056" w:name="_Toc100056"/>
      <w:r>
        <w:rPr>
          <w:rFonts w:ascii="Liberation Serif" w:cs="Liberation Serif" w:eastAsia="Liberation Serif" w:hAnsi="Liberation Serif"/>
          <w:b/>
          <w:bCs/>
          <w:color w:val="14213D"/>
          <w:sz w:val="28"/>
          <w:szCs w:val="28"/>
        </w:rPr>
        <w:t xml:space="preserve">Jitter Rationale</w:t>
      </w:r>
      <w:bookmarkEnd w:id="100056"/>
    </w:p>
    <w:p>
      <w:pPr>
        <w:spacing w:after="160" w:line="312"/>
        <w:jc w:val="both"/>
      </w:pPr>
      <w:r>
        <w:rPr>
          <w:rFonts w:ascii="Liberation Serif" w:cs="Liberation Serif" w:eastAsia="Liberation Serif" w:hAnsi="Liberation Serif"/>
          <w:color w:val="14213D"/>
          <w:sz w:val="22"/>
          <w:szCs w:val="22"/>
        </w:rPr>
        <w:t xml:space="preserve">The ±20ms uniform jitter is critical for systems that handle many simultaneous orders. Without jitter, if 100 orders fail at the same instant (e.g., during a brief broker hiccup), all 100 would retry at exactly 100ms, overwhelming the broker with a synchronized burst and likely causing another round of failures. With jitter, the retries spread over a 40ms window (80-120ms), smoothing the load on the broker. The 20ms jitter magnitude is calibrated to be small relative to the backoff interval (20% of the shortest interval) but large enough to provide meaningful spreading (100 retries spread over 40ms = 2.5 retries per millisecond, which is well within broker capacity).</w:t>
      </w:r>
    </w:p>
    <w:p>
      <w:pPr>
        <w:pStyle w:val="Heading1"/>
        <w:pageBreakBefore/>
        <w:pBdr>
          <w:bottom w:val="single" w:color="C8102E" w:sz="18" w:space="4"/>
        </w:pBdr>
        <w:spacing w:after="240" w:before="480"/>
      </w:pPr>
      <w:bookmarkStart w:id="100057" w:name="_Toc100057"/>
      <w:r>
        <w:rPr>
          <w:rFonts w:ascii="Liberation Serif" w:cs="Liberation Serif" w:eastAsia="Liberation Serif" w:hAnsi="Liberation Serif"/>
          <w:b/>
          <w:bCs/>
          <w:color w:val="14213D"/>
          <w:sz w:val="40"/>
          <w:szCs w:val="40"/>
        </w:rPr>
        <w:t xml:space="preserve">Chapter 10 — Partial Fills Handling</w:t>
      </w:r>
      <w:bookmarkEnd w:id="100057"/>
    </w:p>
    <w:p>
      <w:pPr>
        <w:spacing w:after="160" w:line="312"/>
        <w:jc w:val="both"/>
      </w:pPr>
      <w:r>
        <w:rPr>
          <w:rFonts w:ascii="Liberation Serif" w:cs="Liberation Serif" w:eastAsia="Liberation Serif" w:hAnsi="Liberation Serif"/>
          <w:color w:val="14213D"/>
          <w:sz w:val="22"/>
          <w:szCs w:val="22"/>
        </w:rPr>
        <w:t xml:space="preserve">Partial fills occur when the broker fills only part of an order's requested quantity. This is common for large orders in less liquid markets, and for limit orders that are matched against multiple counterparties. The IEE handles partial fills by transitioning the order to PARTIAL state, tracking the residual quantity, and applying a configurable residual policy (re-route, cancel, or wait).</w:t>
      </w:r>
    </w:p>
    <w:p>
      <w:pPr>
        <w:pStyle w:val="Heading2"/>
        <w:spacing w:after="160" w:before="320"/>
      </w:pPr>
      <w:bookmarkStart w:id="100058" w:name="_Toc100058"/>
      <w:r>
        <w:rPr>
          <w:rFonts w:ascii="Liberation Serif" w:cs="Liberation Serif" w:eastAsia="Liberation Serif" w:hAnsi="Liberation Serif"/>
          <w:b/>
          <w:bCs/>
          <w:color w:val="14213D"/>
          <w:sz w:val="28"/>
          <w:szCs w:val="28"/>
        </w:rPr>
        <w:t xml:space="preserve">Residual Quantity Tracking</w:t>
      </w:r>
      <w:bookmarkEnd w:id="100058"/>
    </w:p>
    <w:p>
      <w:pPr>
        <w:spacing w:after="160" w:line="312"/>
        <w:jc w:val="both"/>
      </w:pPr>
      <w:r>
        <w:rPr>
          <w:rFonts w:ascii="Liberation Serif" w:cs="Liberation Serif" w:eastAsia="Liberation Serif" w:hAnsi="Liberation Serif"/>
          <w:color w:val="14213D"/>
          <w:sz w:val="22"/>
          <w:szCs w:val="22"/>
        </w:rPr>
        <w:t xml:space="preserve">When a partial fill arrives, the FillProcessor computes the residual quantity as qty_requested - qty_filled. The residual is tracked in the Order object and reflected in the Position aggregate (which now holds the partially-filled position). The order transitions to PARTIAL state, where it waits for one of four events: (1) additional fills, which reduce the residual further; (2) operator cancel, which abandons the residual; (3) TIF expiry, which auto-cancels the residual; or (4) re-routing, which creates a new order for the residual quantity.</w:t>
      </w:r>
    </w:p>
    <w:p>
      <w:pPr>
        <w:pStyle w:val="Heading2"/>
        <w:spacing w:after="160" w:before="320"/>
      </w:pPr>
      <w:bookmarkStart w:id="100059" w:name="_Toc100059"/>
      <w:r>
        <w:rPr>
          <w:rFonts w:ascii="Liberation Serif" w:cs="Liberation Serif" w:eastAsia="Liberation Serif" w:hAnsi="Liberation Serif"/>
          <w:b/>
          <w:bCs/>
          <w:color w:val="14213D"/>
          <w:sz w:val="28"/>
          <w:szCs w:val="28"/>
        </w:rPr>
        <w:t xml:space="preserve">Residual Policies</w:t>
      </w:r>
      <w:bookmarkEnd w:id="100059"/>
    </w:p>
    <w:p>
      <w:pPr>
        <w:spacing w:after="160" w:line="312"/>
        <w:jc w:val="both"/>
      </w:pPr>
      <w:r>
        <w:rPr>
          <w:rFonts w:ascii="Liberation Serif" w:cs="Liberation Serif" w:eastAsia="Liberation Serif" w:hAnsi="Liberation Serif"/>
          <w:color w:val="14213D"/>
          <w:sz w:val="22"/>
          <w:szCs w:val="22"/>
        </w:rPr>
        <w:t xml:space="preserve">The strategy coordinator specifies a residual policy when placing the order. The IEE supports four policies:</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RE_ROUTE_AS_MARKET: The residual is converted to a market order and submitted immediately. Used when the strategy needs the position established quickly and is willing to pay the spread.</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RE_ROUTE_AS_LIMIT: The residual is submitted as a limit order at the original limit price. Used when the strategy can wait for a better fill.</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CANCEL_RESIDUAL: The residual is abandoned. Used when the partial fill is sufficient for the strategy's needs (e.g., the position is now large enough).</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WAIT_FOR_FILL: The residual remains in the market as the original order. Used for IOC orders that the broker has not yet fully matched.</w:t>
      </w:r>
    </w:p>
    <w:p>
      <w:pPr>
        <w:pStyle w:val="Heading2"/>
        <w:spacing w:after="160" w:before="320"/>
      </w:pPr>
      <w:bookmarkStart w:id="100060" w:name="_Toc100060"/>
      <w:r>
        <w:rPr>
          <w:rFonts w:ascii="Liberation Serif" w:cs="Liberation Serif" w:eastAsia="Liberation Serif" w:hAnsi="Liberation Serif"/>
          <w:b/>
          <w:bCs/>
          <w:color w:val="14213D"/>
          <w:sz w:val="28"/>
          <w:szCs w:val="28"/>
        </w:rPr>
        <w:t xml:space="preserve">Multiple Partial Fills</w:t>
      </w:r>
      <w:bookmarkEnd w:id="100060"/>
    </w:p>
    <w:p>
      <w:pPr>
        <w:spacing w:after="160" w:line="312"/>
        <w:jc w:val="both"/>
      </w:pPr>
      <w:r>
        <w:rPr>
          <w:rFonts w:ascii="Liberation Serif" w:cs="Liberation Serif" w:eastAsia="Liberation Serif" w:hAnsi="Liberation Serif"/>
          <w:color w:val="14213D"/>
          <w:sz w:val="22"/>
          <w:szCs w:val="22"/>
        </w:rPr>
        <w:t xml:space="preserve">An order can receive multiple partial fills before reaching a terminal state. Each partial fill is processed independently: the FillProcessor updates the cumulative filled quantity, the residual, and the Position; emits a FillEvent; and updates the EQS factors (F4 Fill Completeness reflects the cumulative ratio). The order remains in PARTIAL state until the residual reaches zero (→ FILLED) or one of the other terminal transitions fires. Fill IDs are deduplicated via Bloom filter, preventing double-counting if the broker sends duplicate fill notifications.</w:t>
      </w:r>
    </w:p>
    <w:p>
      <w:pPr>
        <w:pStyle w:val="Heading2"/>
        <w:spacing w:after="160" w:before="320"/>
      </w:pPr>
      <w:bookmarkStart w:id="100061" w:name="_Toc100061"/>
      <w:r>
        <w:rPr>
          <w:rFonts w:ascii="Liberation Serif" w:cs="Liberation Serif" w:eastAsia="Liberation Serif" w:hAnsi="Liberation Serif"/>
          <w:b/>
          <w:bCs/>
          <w:color w:val="14213D"/>
          <w:sz w:val="28"/>
          <w:szCs w:val="28"/>
        </w:rPr>
        <w:t xml:space="preserve">Partial Fill Audit</w:t>
      </w:r>
      <w:bookmarkEnd w:id="100061"/>
    </w:p>
    <w:p>
      <w:pPr>
        <w:spacing w:after="160" w:line="312"/>
        <w:jc w:val="both"/>
      </w:pPr>
      <w:r>
        <w:rPr>
          <w:rFonts w:ascii="Liberation Serif" w:cs="Liberation Serif" w:eastAsia="Liberation Serif" w:hAnsi="Liberation Serif"/>
          <w:color w:val="14213D"/>
          <w:sz w:val="22"/>
          <w:szCs w:val="22"/>
        </w:rPr>
        <w:t xml:space="preserve">Every partial fill is audited with the fill ID, fill quantity, fill price, cumulative filled quantity, residual quantity, and timestamp. The audit log allows operators to reconstruct the complete fill sequence for any order, which is essential for post-trade analysis and dispute resolution with the broker. The audit log is also used by the TCACollector to compute the volume-weighted average fill price (VWAP) for each order, which feeds into the EQS F1 Slippage factor.</w:t>
      </w:r>
    </w:p>
    <w:p>
      <w:pPr>
        <w:pStyle w:val="Heading1"/>
        <w:pageBreakBefore/>
        <w:pBdr>
          <w:bottom w:val="single" w:color="C8102E" w:sz="18" w:space="4"/>
        </w:pBdr>
        <w:spacing w:after="240" w:before="480"/>
      </w:pPr>
      <w:bookmarkStart w:id="100062" w:name="_Toc100062"/>
      <w:r>
        <w:rPr>
          <w:rFonts w:ascii="Liberation Serif" w:cs="Liberation Serif" w:eastAsia="Liberation Serif" w:hAnsi="Liberation Serif"/>
          <w:b/>
          <w:bCs/>
          <w:color w:val="14213D"/>
          <w:sz w:val="40"/>
          <w:szCs w:val="40"/>
        </w:rPr>
        <w:t xml:space="preserve">Chapter 11 — Broker Rejection Handling</w:t>
      </w:r>
      <w:bookmarkEnd w:id="100062"/>
    </w:p>
    <w:p>
      <w:pPr>
        <w:spacing w:after="160" w:line="312"/>
        <w:jc w:val="both"/>
      </w:pPr>
      <w:r>
        <w:rPr>
          <w:rFonts w:ascii="Liberation Serif" w:cs="Liberation Serif" w:eastAsia="Liberation Serif" w:hAnsi="Liberation Serif"/>
          <w:color w:val="14213D"/>
          <w:sz w:val="22"/>
          <w:szCs w:val="22"/>
        </w:rPr>
        <w:t xml:space="preserve">The RejectionClassifier maps MT5 return codes to 12 RejectCode values, each routed to one of three actions: RETRYABLE (auto-retry via RetryManager), SOFT (reduce size and retry once), or FATAL (abort and escalate). The classifier is the IEE's defense against the wide variety of rejection codes that MT5 brokers can return, translating them into a small number of well-defined actions.</w:t>
      </w:r>
    </w:p>
    <w:p>
      <w:pPr>
        <w:pStyle w:val="Heading2"/>
        <w:spacing w:after="160" w:before="320"/>
      </w:pPr>
      <w:bookmarkStart w:id="100063" w:name="_Toc100063"/>
      <w:r>
        <w:rPr>
          <w:rFonts w:ascii="Liberation Serif" w:cs="Liberation Serif" w:eastAsia="Liberation Serif" w:hAnsi="Liberation Serif"/>
          <w:b/>
          <w:bCs/>
          <w:color w:val="14213D"/>
          <w:sz w:val="28"/>
          <w:szCs w:val="28"/>
        </w:rPr>
        <w:t xml:space="preserve">MT5 Return Code Mapping</w:t>
      </w:r>
      <w:bookmarkEnd w:id="100063"/>
    </w:p>
    <w:tbl>
      <w:tblPr>
        <w:tblW w:type="dxa" w:w="9000"/>
        <w:tblBorders>
          <w:top w:val="single" w:color="14213D" w:sz="6"/>
          <w:left w:val="single" w:color="CBD5E1" w:sz="4"/>
          <w:bottom w:val="single" w:color="14213D" w:sz="6"/>
          <w:right w:val="single" w:color="CBD5E1" w:sz="4"/>
          <w:insideH w:val="single" w:color="CBD5E1" w:sz="4"/>
          <w:insideV w:val="single" w:color="CBD5E1" w:sz="4"/>
        </w:tblBorders>
      </w:tblPr>
      <w:tblGrid>
        <w:gridCol w:w="100"/>
        <w:gridCol w:w="100"/>
        <w:gridCol w:w="100"/>
        <w:gridCol w:w="100"/>
        <w:gridCol w:w="100"/>
      </w:tblGrid>
      <w:tr>
        <w:trPr>
          <w:cantSplit/>
          <w:tblHeader/>
        </w:trPr>
        <w:tc>
          <w:tcPr>
            <w:tcW w:type="dxa" w:w="108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MT5 retcode</w:t>
            </w:r>
          </w:p>
        </w:tc>
        <w:tc>
          <w:tcPr>
            <w:tcW w:type="dxa" w:w="198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RejectCode</w:t>
            </w:r>
          </w:p>
        </w:tc>
        <w:tc>
          <w:tcPr>
            <w:tcW w:type="dxa" w:w="270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Meaning</w:t>
            </w:r>
          </w:p>
        </w:tc>
        <w:tc>
          <w:tcPr>
            <w:tcW w:type="dxa" w:w="126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Category</w:t>
            </w:r>
          </w:p>
        </w:tc>
        <w:tc>
          <w:tcPr>
            <w:tcW w:type="dxa" w:w="198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Action</w:t>
            </w:r>
          </w:p>
        </w:tc>
      </w:tr>
      <w:tr>
        <w:trPr>
          <w:cantSplit/>
        </w:trPr>
        <w:tc>
          <w:tcPr>
            <w:tcW w:type="dxa" w:w="10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10004</w:t>
            </w:r>
          </w:p>
        </w:tc>
        <w:tc>
          <w:tcPr>
            <w:tcW w:type="dxa" w:w="19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REQUOTE</w:t>
            </w:r>
          </w:p>
        </w:tc>
        <w:tc>
          <w:tcPr>
            <w:tcW w:type="dxa" w:w="27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No price for requested slip</w:t>
            </w:r>
          </w:p>
        </w:tc>
        <w:tc>
          <w:tcPr>
            <w:tcW w:type="dxa" w:w="126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RETRYABLE</w:t>
            </w:r>
          </w:p>
        </w:tc>
        <w:tc>
          <w:tcPr>
            <w:tcW w:type="dxa" w:w="19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retry (refresh price)</w:t>
            </w:r>
          </w:p>
        </w:tc>
      </w:tr>
      <w:tr>
        <w:trPr>
          <w:cantSplit/>
        </w:trPr>
        <w:tc>
          <w:tcPr>
            <w:tcW w:type="dxa" w:w="10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10006</w:t>
            </w:r>
          </w:p>
        </w:tc>
        <w:tc>
          <w:tcPr>
            <w:tcW w:type="dxa" w:w="19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REQUEST_CANCELLED</w:t>
            </w:r>
          </w:p>
        </w:tc>
        <w:tc>
          <w:tcPr>
            <w:tcW w:type="dxa" w:w="27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Request cancelled by client</w:t>
            </w:r>
          </w:p>
        </w:tc>
        <w:tc>
          <w:tcPr>
            <w:tcW w:type="dxa" w:w="126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FATAL</w:t>
            </w:r>
          </w:p>
        </w:tc>
        <w:tc>
          <w:tcPr>
            <w:tcW w:type="dxa" w:w="19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abort</w:t>
            </w:r>
          </w:p>
        </w:tc>
      </w:tr>
      <w:tr>
        <w:trPr>
          <w:cantSplit/>
        </w:trPr>
        <w:tc>
          <w:tcPr>
            <w:tcW w:type="dxa" w:w="10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10008</w:t>
            </w:r>
          </w:p>
        </w:tc>
        <w:tc>
          <w:tcPr>
            <w:tcW w:type="dxa" w:w="19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PRICE_CHANGED</w:t>
            </w:r>
          </w:p>
        </w:tc>
        <w:tc>
          <w:tcPr>
            <w:tcW w:type="dxa" w:w="27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Price has changed since request</w:t>
            </w:r>
          </w:p>
        </w:tc>
        <w:tc>
          <w:tcPr>
            <w:tcW w:type="dxa" w:w="126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SOFT</w:t>
            </w:r>
          </w:p>
        </w:tc>
        <w:tc>
          <w:tcPr>
            <w:tcW w:type="dxa" w:w="19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reduce size 50% + retry</w:t>
            </w:r>
          </w:p>
        </w:tc>
      </w:tr>
      <w:tr>
        <w:trPr>
          <w:cantSplit/>
        </w:trPr>
        <w:tc>
          <w:tcPr>
            <w:tcW w:type="dxa" w:w="10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10013</w:t>
            </w:r>
          </w:p>
        </w:tc>
        <w:tc>
          <w:tcPr>
            <w:tcW w:type="dxa" w:w="19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INVALID_VOLUME</w:t>
            </w:r>
          </w:p>
        </w:tc>
        <w:tc>
          <w:tcPr>
            <w:tcW w:type="dxa" w:w="27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Volume not in step or range</w:t>
            </w:r>
          </w:p>
        </w:tc>
        <w:tc>
          <w:tcPr>
            <w:tcW w:type="dxa" w:w="126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SOFT</w:t>
            </w:r>
          </w:p>
        </w:tc>
        <w:tc>
          <w:tcPr>
            <w:tcW w:type="dxa" w:w="19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reduce size 50% + retry</w:t>
            </w:r>
          </w:p>
        </w:tc>
      </w:tr>
      <w:tr>
        <w:trPr>
          <w:cantSplit/>
        </w:trPr>
        <w:tc>
          <w:tcPr>
            <w:tcW w:type="dxa" w:w="10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10014</w:t>
            </w:r>
          </w:p>
        </w:tc>
        <w:tc>
          <w:tcPr>
            <w:tcW w:type="dxa" w:w="19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NO_MONEY</w:t>
            </w:r>
          </w:p>
        </w:tc>
        <w:tc>
          <w:tcPr>
            <w:tcW w:type="dxa" w:w="27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Insufficient margin</w:t>
            </w:r>
          </w:p>
        </w:tc>
        <w:tc>
          <w:tcPr>
            <w:tcW w:type="dxa" w:w="126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SOFT</w:t>
            </w:r>
          </w:p>
        </w:tc>
        <w:tc>
          <w:tcPr>
            <w:tcW w:type="dxa" w:w="19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reduce size 50% + retry</w:t>
            </w:r>
          </w:p>
        </w:tc>
      </w:tr>
      <w:tr>
        <w:trPr>
          <w:cantSplit/>
        </w:trPr>
        <w:tc>
          <w:tcPr>
            <w:tcW w:type="dxa" w:w="10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10015</w:t>
            </w:r>
          </w:p>
        </w:tc>
        <w:tc>
          <w:tcPr>
            <w:tcW w:type="dxa" w:w="19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PRICE_OFF</w:t>
            </w:r>
          </w:p>
        </w:tc>
        <w:tc>
          <w:tcPr>
            <w:tcW w:type="dxa" w:w="27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No quotes for symbol</w:t>
            </w:r>
          </w:p>
        </w:tc>
        <w:tc>
          <w:tcPr>
            <w:tcW w:type="dxa" w:w="126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RETRYABLE</w:t>
            </w:r>
          </w:p>
        </w:tc>
        <w:tc>
          <w:tcPr>
            <w:tcW w:type="dxa" w:w="19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retry (backoff 1s)</w:t>
            </w:r>
          </w:p>
        </w:tc>
      </w:tr>
      <w:tr>
        <w:trPr>
          <w:cantSplit/>
        </w:trPr>
        <w:tc>
          <w:tcPr>
            <w:tcW w:type="dxa" w:w="10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10016</w:t>
            </w:r>
          </w:p>
        </w:tc>
        <w:tc>
          <w:tcPr>
            <w:tcW w:type="dxa" w:w="19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PRICE_EXPIRED</w:t>
            </w:r>
          </w:p>
        </w:tc>
        <w:tc>
          <w:tcPr>
            <w:tcW w:type="dxa" w:w="27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Price expired before reach</w:t>
            </w:r>
          </w:p>
        </w:tc>
        <w:tc>
          <w:tcPr>
            <w:tcW w:type="dxa" w:w="126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RETRYABLE</w:t>
            </w:r>
          </w:p>
        </w:tc>
        <w:tc>
          <w:tcPr>
            <w:tcW w:type="dxa" w:w="19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retry</w:t>
            </w:r>
          </w:p>
        </w:tc>
      </w:tr>
      <w:tr>
        <w:trPr>
          <w:cantSplit/>
        </w:trPr>
        <w:tc>
          <w:tcPr>
            <w:tcW w:type="dxa" w:w="10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10018</w:t>
            </w:r>
          </w:p>
        </w:tc>
        <w:tc>
          <w:tcPr>
            <w:tcW w:type="dxa" w:w="19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MARKET_CLOSED</w:t>
            </w:r>
          </w:p>
        </w:tc>
        <w:tc>
          <w:tcPr>
            <w:tcW w:type="dxa" w:w="27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Market closed for symbol</w:t>
            </w:r>
          </w:p>
        </w:tc>
        <w:tc>
          <w:tcPr>
            <w:tcW w:type="dxa" w:w="126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FATAL</w:t>
            </w:r>
          </w:p>
        </w:tc>
        <w:tc>
          <w:tcPr>
            <w:tcW w:type="dxa" w:w="19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abort (queue for open)</w:t>
            </w:r>
          </w:p>
        </w:tc>
      </w:tr>
      <w:tr>
        <w:trPr>
          <w:cantSplit/>
        </w:trPr>
        <w:tc>
          <w:tcPr>
            <w:tcW w:type="dxa" w:w="10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10019</w:t>
            </w:r>
          </w:p>
        </w:tc>
        <w:tc>
          <w:tcPr>
            <w:tcW w:type="dxa" w:w="19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NO_PRICES</w:t>
            </w:r>
          </w:p>
        </w:tc>
        <w:tc>
          <w:tcPr>
            <w:tcW w:type="dxa" w:w="27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No prices for symbol</w:t>
            </w:r>
          </w:p>
        </w:tc>
        <w:tc>
          <w:tcPr>
            <w:tcW w:type="dxa" w:w="126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RETRYABLE</w:t>
            </w:r>
          </w:p>
        </w:tc>
        <w:tc>
          <w:tcPr>
            <w:tcW w:type="dxa" w:w="19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retry (backoff 1s)</w:t>
            </w:r>
          </w:p>
        </w:tc>
      </w:tr>
      <w:tr>
        <w:trPr>
          <w:cantSplit/>
        </w:trPr>
        <w:tc>
          <w:tcPr>
            <w:tcW w:type="dxa" w:w="10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10021</w:t>
            </w:r>
          </w:p>
        </w:tc>
        <w:tc>
          <w:tcPr>
            <w:tcW w:type="dxa" w:w="19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NO_QUOTES</w:t>
            </w:r>
          </w:p>
        </w:tc>
        <w:tc>
          <w:tcPr>
            <w:tcW w:type="dxa" w:w="27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No quotes for order type</w:t>
            </w:r>
          </w:p>
        </w:tc>
        <w:tc>
          <w:tcPr>
            <w:tcW w:type="dxa" w:w="126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RETRYABLE</w:t>
            </w:r>
          </w:p>
        </w:tc>
        <w:tc>
          <w:tcPr>
            <w:tcW w:type="dxa" w:w="19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retry</w:t>
            </w:r>
          </w:p>
        </w:tc>
      </w:tr>
      <w:tr>
        <w:trPr>
          <w:cantSplit/>
        </w:trPr>
        <w:tc>
          <w:tcPr>
            <w:tcW w:type="dxa" w:w="10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10024</w:t>
            </w:r>
          </w:p>
        </w:tc>
        <w:tc>
          <w:tcPr>
            <w:tcW w:type="dxa" w:w="19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TOO_MANY_REQUESTS</w:t>
            </w:r>
          </w:p>
        </w:tc>
        <w:tc>
          <w:tcPr>
            <w:tcW w:type="dxa" w:w="27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Rate limit exceeded</w:t>
            </w:r>
          </w:p>
        </w:tc>
        <w:tc>
          <w:tcPr>
            <w:tcW w:type="dxa" w:w="126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RETRYABLE</w:t>
            </w:r>
          </w:p>
        </w:tc>
        <w:tc>
          <w:tcPr>
            <w:tcW w:type="dxa" w:w="19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retry (backoff 2s)</w:t>
            </w:r>
          </w:p>
        </w:tc>
      </w:tr>
      <w:tr>
        <w:trPr>
          <w:cantSplit/>
        </w:trPr>
        <w:tc>
          <w:tcPr>
            <w:tcW w:type="dxa" w:w="10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10026</w:t>
            </w:r>
          </w:p>
        </w:tc>
        <w:tc>
          <w:tcPr>
            <w:tcW w:type="dxa" w:w="19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BROKER_BLOCKED</w:t>
            </w:r>
          </w:p>
        </w:tc>
        <w:tc>
          <w:tcPr>
            <w:tcW w:type="dxa" w:w="27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Broker blocked the order</w:t>
            </w:r>
          </w:p>
        </w:tc>
        <w:tc>
          <w:tcPr>
            <w:tcW w:type="dxa" w:w="126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FATAL</w:t>
            </w:r>
          </w:p>
        </w:tc>
        <w:tc>
          <w:tcPr>
            <w:tcW w:type="dxa" w:w="19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abort + kill switch</w:t>
            </w:r>
          </w:p>
        </w:tc>
      </w:tr>
      <w:tr>
        <w:trPr>
          <w:cantSplit/>
        </w:trPr>
        <w:tc>
          <w:tcPr>
            <w:tcW w:type="dxa" w:w="10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(other)</w:t>
            </w:r>
          </w:p>
        </w:tc>
        <w:tc>
          <w:tcPr>
            <w:tcW w:type="dxa" w:w="19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UNKNOWN</w:t>
            </w:r>
          </w:p>
        </w:tc>
        <w:tc>
          <w:tcPr>
            <w:tcW w:type="dxa" w:w="27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Unrecognized retcode</w:t>
            </w:r>
          </w:p>
        </w:tc>
        <w:tc>
          <w:tcPr>
            <w:tcW w:type="dxa" w:w="126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FATAL</w:t>
            </w:r>
          </w:p>
        </w:tc>
        <w:tc>
          <w:tcPr>
            <w:tcW w:type="dxa" w:w="19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abort (conservative)</w:t>
            </w:r>
          </w:p>
        </w:tc>
      </w:tr>
    </w:tbl>
    <w:p>
      <w:pPr>
        <w:spacing w:after="200"/>
      </w:pPr>
    </w:p>
    <w:p>
      <w:pPr>
        <w:pStyle w:val="Heading2"/>
        <w:spacing w:after="160" w:before="320"/>
      </w:pPr>
      <w:bookmarkStart w:id="100064" w:name="_Toc100064"/>
      <w:r>
        <w:rPr>
          <w:rFonts w:ascii="Liberation Serif" w:cs="Liberation Serif" w:eastAsia="Liberation Serif" w:hAnsi="Liberation Serif"/>
          <w:b/>
          <w:bCs/>
          <w:color w:val="14213D"/>
          <w:sz w:val="28"/>
          <w:szCs w:val="28"/>
        </w:rPr>
        <w:t xml:space="preserve">FATAL Rejection Handling</w:t>
      </w:r>
      <w:bookmarkEnd w:id="100064"/>
    </w:p>
    <w:p>
      <w:pPr>
        <w:spacing w:after="160" w:line="312"/>
        <w:jc w:val="both"/>
      </w:pPr>
      <w:r>
        <w:rPr>
          <w:rFonts w:ascii="Liberation Serif" w:cs="Liberation Serif" w:eastAsia="Liberation Serif" w:hAnsi="Liberation Serif"/>
          <w:color w:val="14213D"/>
          <w:sz w:val="22"/>
          <w:szCs w:val="22"/>
        </w:rPr>
        <w:t xml:space="preserve">FATAL rejections indicate that the broker cannot accept any order at this time. The order is aborted immediately, and the operator is paged via PagerDuty (P1 severity). For BROKER_BLOCKED (10026), the kill switch is engaged, halting all new orders and flattening existing positions. For MARKET_CLOSED (10018), the order is queued for re-submission when the market opens (if the strategy coordinator's policy allows). For UNKNOWN retcodes, the order is aborted conservatively — we do not retry what we do not understand, and the operator is alerted to investigate.</w:t>
      </w:r>
    </w:p>
    <w:p>
      <w:pPr>
        <w:pStyle w:val="Heading2"/>
        <w:spacing w:after="160" w:before="320"/>
      </w:pPr>
      <w:bookmarkStart w:id="100065" w:name="_Toc100065"/>
      <w:r>
        <w:rPr>
          <w:rFonts w:ascii="Liberation Serif" w:cs="Liberation Serif" w:eastAsia="Liberation Serif" w:hAnsi="Liberation Serif"/>
          <w:b/>
          <w:bCs/>
          <w:color w:val="14213D"/>
          <w:sz w:val="28"/>
          <w:szCs w:val="28"/>
        </w:rPr>
        <w:t xml:space="preserve">Rejection Rate Monitoring</w:t>
      </w:r>
      <w:bookmarkEnd w:id="100065"/>
    </w:p>
    <w:p>
      <w:pPr>
        <w:spacing w:after="160" w:line="312"/>
        <w:jc w:val="both"/>
      </w:pPr>
      <w:r>
        <w:rPr>
          <w:rFonts w:ascii="Liberation Serif" w:cs="Liberation Serif" w:eastAsia="Liberation Serif" w:hAnsi="Liberation Serif"/>
          <w:color w:val="14213D"/>
          <w:sz w:val="22"/>
          <w:szCs w:val="22"/>
        </w:rPr>
        <w:t xml:space="preserve">The IEE monitors the rejection rate per broker and per symbol, exposing it as a Prometheus metric. If the rejection rate exceeds 10% over a 5-minute window, a P2 alert is fired. If it exceeds 25%, a P1 alert is fired and the kill switch is engaged. High rejection rates typically indicate either a broker problem (e.g., the broker is throttling us due to excessive order submission) or a strategy problem (e.g., the strategy is submitting orders with stale prices). The monitoring allows operators to distinguish between these cases and take appropriate action.</w:t>
      </w:r>
    </w:p>
    <w:p>
      <w:pPr>
        <w:pStyle w:val="Heading1"/>
        <w:pageBreakBefore/>
        <w:pBdr>
          <w:bottom w:val="single" w:color="C8102E" w:sz="18" w:space="4"/>
        </w:pBdr>
        <w:spacing w:after="240" w:before="480"/>
      </w:pPr>
      <w:bookmarkStart w:id="100066" w:name="_Toc100066"/>
      <w:r>
        <w:rPr>
          <w:rFonts w:ascii="Liberation Serif" w:cs="Liberation Serif" w:eastAsia="Liberation Serif" w:hAnsi="Liberation Serif"/>
          <w:b/>
          <w:bCs/>
          <w:color w:val="14213D"/>
          <w:sz w:val="40"/>
          <w:szCs w:val="40"/>
        </w:rPr>
        <w:t xml:space="preserve">Chapter 12 — Error Recovery — Reconciliation &amp; State Repair</w:t>
      </w:r>
      <w:bookmarkEnd w:id="100066"/>
    </w:p>
    <w:p>
      <w:pPr>
        <w:spacing w:after="160" w:line="312"/>
        <w:jc w:val="both"/>
      </w:pPr>
      <w:r>
        <w:rPr>
          <w:rFonts w:ascii="Liberation Serif" w:cs="Liberation Serif" w:eastAsia="Liberation Serif" w:hAnsi="Liberation Serif"/>
          <w:color w:val="14213D"/>
          <w:sz w:val="22"/>
          <w:szCs w:val="22"/>
        </w:rPr>
        <w:t xml:space="preserve">The IEE's error recovery subsystem handles failures that cannot be resolved by simple retry: orphan orders (local state has an order the broker doesn't), phantom orders (broker has an order local state doesn't), and stale state after a process restart or failover. The ReconciliationEngine runs every 5 seconds, comparing local state against broker state and resolving discrepancies according to defined policies.</w:t>
      </w:r>
    </w:p>
    <w:p>
      <w:pPr>
        <w:spacing w:after="100" w:before="200"/>
        <w:jc w:val="center"/>
      </w:pPr>
      <w:r>
        <w:drawing>
          <wp:inline distT="0" distB="0" distL="0" distR="0">
            <wp:extent cx="594360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4086225"/>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12.1 — Three error recovery subsystems: (a) retry manager with exponential backoff, (b) rejection classifier with 12-code mapping, (c) reconciliation engine for orphan/phantom resolution.</w:t>
      </w:r>
    </w:p>
    <w:p>
      <w:pPr>
        <w:pStyle w:val="Heading2"/>
        <w:spacing w:after="160" w:before="320"/>
      </w:pPr>
      <w:bookmarkStart w:id="100067" w:name="_Toc100067"/>
      <w:r>
        <w:rPr>
          <w:rFonts w:ascii="Liberation Serif" w:cs="Liberation Serif" w:eastAsia="Liberation Serif" w:hAnsi="Liberation Serif"/>
          <w:b/>
          <w:bCs/>
          <w:color w:val="14213D"/>
          <w:sz w:val="28"/>
          <w:szCs w:val="28"/>
        </w:rPr>
        <w:t xml:space="preserve">Reconciliation Engine</w:t>
      </w:r>
      <w:bookmarkEnd w:id="100067"/>
    </w:p>
    <w:p>
      <w:pPr>
        <w:spacing w:after="160" w:line="312"/>
        <w:jc w:val="both"/>
      </w:pPr>
      <w:r>
        <w:rPr>
          <w:rFonts w:ascii="Liberation Serif" w:cs="Liberation Serif" w:eastAsia="Liberation Serif" w:hAnsi="Liberation Serif"/>
          <w:color w:val="14213D"/>
          <w:sz w:val="22"/>
          <w:szCs w:val="22"/>
        </w:rPr>
        <w:t xml:space="preserve">Every 5 seconds, the ReconciliationEngine queries the broker for all open orders and compares them against the local OrderManager state. The comparison produces three sets: (1) orders in both local and broker state (consistent — no action), (2) orders in local only (orphans — local thinks an order exists, broker doesn't), and (3) orders in broker only (phantoms — broker has an order local doesn't). Each discrepancy type has a defined resolution policy.</w:t>
      </w:r>
    </w:p>
    <w:p>
      <w:pPr>
        <w:pStyle w:val="Heading3"/>
        <w:spacing w:after="120" w:before="240"/>
      </w:pPr>
      <w:bookmarkStart w:id="100068" w:name="_Toc100068"/>
      <w:r>
        <w:rPr>
          <w:rFonts w:ascii="Liberation Serif" w:cs="Liberation Serif" w:eastAsia="Liberation Serif" w:hAnsi="Liberation Serif"/>
          <w:b/>
          <w:bCs/>
          <w:color w:val="C8102E"/>
          <w:sz w:val="24"/>
          <w:szCs w:val="24"/>
        </w:rPr>
        <w:t xml:space="preserve">Orphan Resolution</w:t>
      </w:r>
      <w:bookmarkEnd w:id="100068"/>
    </w:p>
    <w:p>
      <w:pPr>
        <w:spacing w:after="160" w:line="312"/>
        <w:jc w:val="both"/>
      </w:pPr>
      <w:r>
        <w:rPr>
          <w:rFonts w:ascii="Liberation Serif" w:cs="Liberation Serif" w:eastAsia="Liberation Serif" w:hAnsi="Liberation Serif"/>
          <w:color w:val="14213D"/>
          <w:sz w:val="22"/>
          <w:szCs w:val="22"/>
        </w:rPr>
        <w:t xml:space="preserve">An orphan order (local has, broker doesn't) typically indicates that the broker rejected or expired the order but the rejection notification was lost (e.g., due to a network hiccup during the callback). Resolution: cancel the local order, audit the discrepancy, and notify the operator (P2). If the order had partial fills, the Position is left intact (the partial fill did happen); only the unfilled residual is canceled. Orphans are common after broker disconnects and are usually benign, but they must be resolved to prevent local state from drifting further from reality.</w:t>
      </w:r>
    </w:p>
    <w:p>
      <w:pPr>
        <w:pStyle w:val="Heading3"/>
        <w:spacing w:after="120" w:before="240"/>
      </w:pPr>
      <w:bookmarkStart w:id="100069" w:name="_Toc100069"/>
      <w:r>
        <w:rPr>
          <w:rFonts w:ascii="Liberation Serif" w:cs="Liberation Serif" w:eastAsia="Liberation Serif" w:hAnsi="Liberation Serif"/>
          <w:b/>
          <w:bCs/>
          <w:color w:val="C8102E"/>
          <w:sz w:val="24"/>
          <w:szCs w:val="24"/>
        </w:rPr>
        <w:t xml:space="preserve">Phantom Resolution</w:t>
      </w:r>
      <w:bookmarkEnd w:id="100069"/>
    </w:p>
    <w:p>
      <w:pPr>
        <w:spacing w:after="160" w:line="312"/>
        <w:jc w:val="both"/>
      </w:pPr>
      <w:r>
        <w:rPr>
          <w:rFonts w:ascii="Liberation Serif" w:cs="Liberation Serif" w:eastAsia="Liberation Serif" w:hAnsi="Liberation Serif"/>
          <w:color w:val="14213D"/>
          <w:sz w:val="22"/>
          <w:szCs w:val="22"/>
        </w:rPr>
        <w:t xml:space="preserve">A phantom order (broker has, local doesn't) is more serious — it means we have an order in the market that we don't know about. Resolution: if the order's client_id matches one of ours (we placed it but lost local state, e.g., due to a process crash), adopt it into local state and continue normal processing. If the client_id is not ours (someone else placed it, possibly an attacker or a stale session), flatten it immediately (submit a closing order) and page the operator (P1). Phantom orders with foreign client_ids are extremely rare and usually indicate a security incident.</w:t>
      </w:r>
    </w:p>
    <w:p>
      <w:pPr>
        <w:pStyle w:val="Heading2"/>
        <w:spacing w:after="160" w:before="320"/>
      </w:pPr>
      <w:bookmarkStart w:id="100070" w:name="_Toc100070"/>
      <w:r>
        <w:rPr>
          <w:rFonts w:ascii="Liberation Serif" w:cs="Liberation Serif" w:eastAsia="Liberation Serif" w:hAnsi="Liberation Serif"/>
          <w:b/>
          <w:bCs/>
          <w:color w:val="14213D"/>
          <w:sz w:val="28"/>
          <w:szCs w:val="28"/>
        </w:rPr>
        <w:t xml:space="preserve">State Recovery After Restart</w:t>
      </w:r>
      <w:bookmarkEnd w:id="100070"/>
    </w:p>
    <w:p>
      <w:pPr>
        <w:spacing w:after="160" w:line="312"/>
        <w:jc w:val="both"/>
      </w:pPr>
      <w:r>
        <w:rPr>
          <w:rFonts w:ascii="Liberation Serif" w:cs="Liberation Serif" w:eastAsia="Liberation Serif" w:hAnsi="Liberation Serif"/>
          <w:color w:val="14213D"/>
          <w:sz w:val="22"/>
          <w:szCs w:val="22"/>
        </w:rPr>
        <w:t xml:space="preserve">When the IEE process restarts (after a crash, upgrade, or failover), it loads hot state from Redis (which is replicated from the primary to the standby VPS). The state includes all active orders, their current state, the Position aggregate, and rolling statistics. After loading, the ReconciliationEngine runs immediately (not waiting for the 5-second interval) to verify that the loaded state matches broker reality. Any discrepancies are resolved as described above. Total restart-to-ready time is under 3 seconds, dominated by Redis load (1s) and reconciliation (1-2s depending on order count).</w:t>
      </w:r>
    </w:p>
    <w:p>
      <w:pPr>
        <w:pStyle w:val="Heading2"/>
        <w:spacing w:after="160" w:before="320"/>
      </w:pPr>
      <w:bookmarkStart w:id="100071" w:name="_Toc100071"/>
      <w:r>
        <w:rPr>
          <w:rFonts w:ascii="Liberation Serif" w:cs="Liberation Serif" w:eastAsia="Liberation Serif" w:hAnsi="Liberation Serif"/>
          <w:b/>
          <w:bCs/>
          <w:color w:val="14213D"/>
          <w:sz w:val="28"/>
          <w:szCs w:val="28"/>
        </w:rPr>
        <w:t xml:space="preserve">Error Code Reference</w:t>
      </w:r>
      <w:bookmarkEnd w:id="100071"/>
    </w:p>
    <w:p>
      <w:pPr>
        <w:spacing w:after="160" w:line="312"/>
        <w:jc w:val="both"/>
      </w:pPr>
      <w:r>
        <w:rPr>
          <w:rFonts w:ascii="Liberation Serif" w:cs="Liberation Serif" w:eastAsia="Liberation Serif" w:hAnsi="Liberation Serif"/>
          <w:color w:val="14213D"/>
          <w:sz w:val="22"/>
          <w:szCs w:val="22"/>
        </w:rPr>
        <w:t xml:space="preserve">The complete error code reference is shown in Figure 12.1. The 14 error scenarios cover every failure mode the IEE can encounter in production, from submit timeouts to idempotency violations to kill switch engagements. Each scenario has a defined detection mechanism, recovery action, operator alert level, and audit requirement. Operators should familiarize themselves with this table — it is the basis for all post-incident review and root-cause analysis.</w:t>
      </w:r>
    </w:p>
    <w:tbl>
      <w:tblPr>
        <w:tblW w:type="dxa" w:w="9000"/>
        <w:tblBorders>
          <w:top w:val="single" w:color="14213D" w:sz="6"/>
          <w:left w:val="single" w:color="CBD5E1" w:sz="4"/>
          <w:bottom w:val="single" w:color="14213D" w:sz="6"/>
          <w:right w:val="single" w:color="CBD5E1" w:sz="4"/>
          <w:insideH w:val="single" w:color="CBD5E1" w:sz="4"/>
          <w:insideV w:val="single" w:color="CBD5E1" w:sz="4"/>
        </w:tblBorders>
      </w:tblPr>
      <w:tblGrid>
        <w:gridCol w:w="100"/>
        <w:gridCol w:w="100"/>
        <w:gridCol w:w="100"/>
        <w:gridCol w:w="100"/>
      </w:tblGrid>
      <w:tr>
        <w:trPr>
          <w:cantSplit/>
          <w:tblHeader/>
        </w:trPr>
        <w:tc>
          <w:tcPr>
            <w:tcW w:type="dxa" w:w="270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Error Scenario</w:t>
            </w:r>
          </w:p>
        </w:tc>
        <w:tc>
          <w:tcPr>
            <w:tcW w:type="dxa" w:w="198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Detection</w:t>
            </w:r>
          </w:p>
        </w:tc>
        <w:tc>
          <w:tcPr>
            <w:tcW w:type="dxa" w:w="324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Recovery Action</w:t>
            </w:r>
          </w:p>
        </w:tc>
        <w:tc>
          <w:tcPr>
            <w:tcW w:type="dxa" w:w="108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Alert</w:t>
            </w:r>
          </w:p>
        </w:tc>
      </w:tr>
      <w:tr>
        <w:trPr>
          <w:cantSplit/>
        </w:trPr>
        <w:tc>
          <w:tcPr>
            <w:tcW w:type="dxa" w:w="27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Submit timeout (2s, no broker response)</w:t>
            </w:r>
          </w:p>
        </w:tc>
        <w:tc>
          <w:tcPr>
            <w:tcW w:type="dxa" w:w="19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Submit timer fires</w:t>
            </w:r>
          </w:p>
        </w:tc>
        <w:tc>
          <w:tcPr>
            <w:tcW w:type="dxa" w:w="324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Reconcile → if broker has order, adopt; if not, retry</w:t>
            </w:r>
          </w:p>
        </w:tc>
        <w:tc>
          <w:tcPr>
            <w:tcW w:type="dxa" w:w="10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P2 email</w:t>
            </w:r>
          </w:p>
        </w:tc>
      </w:tr>
      <w:tr>
        <w:trPr>
          <w:cantSplit/>
        </w:trPr>
        <w:tc>
          <w:tcPr>
            <w:tcW w:type="dxa" w:w="27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Broker reject — REQUOTE (10004)</w:t>
            </w:r>
          </w:p>
        </w:tc>
        <w:tc>
          <w:tcPr>
            <w:tcW w:type="dxa" w:w="19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retcode from OnTrade</w:t>
            </w:r>
          </w:p>
        </w:tc>
        <w:tc>
          <w:tcPr>
            <w:tcW w:type="dxa" w:w="324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Retry up to 3× with backoff; refresh expected price</w:t>
            </w:r>
          </w:p>
        </w:tc>
        <w:tc>
          <w:tcPr>
            <w:tcW w:type="dxa" w:w="10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Log only</w:t>
            </w:r>
          </w:p>
        </w:tc>
      </w:tr>
      <w:tr>
        <w:trPr>
          <w:cantSplit/>
        </w:trPr>
        <w:tc>
          <w:tcPr>
            <w:tcW w:type="dxa" w:w="27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Broker reject — NO_MONEY (10014)</w:t>
            </w:r>
          </w:p>
        </w:tc>
        <w:tc>
          <w:tcPr>
            <w:tcW w:type="dxa" w:w="19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retcode from OnTrade</w:t>
            </w:r>
          </w:p>
        </w:tc>
        <w:tc>
          <w:tcPr>
            <w:tcW w:type="dxa" w:w="324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Reduce size 50% + retry once; if fails, abort</w:t>
            </w:r>
          </w:p>
        </w:tc>
        <w:tc>
          <w:tcPr>
            <w:tcW w:type="dxa" w:w="10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P2 email</w:t>
            </w:r>
          </w:p>
        </w:tc>
      </w:tr>
      <w:tr>
        <w:trPr>
          <w:cantSplit/>
        </w:trPr>
        <w:tc>
          <w:tcPr>
            <w:tcW w:type="dxa" w:w="27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Broker reject — MARKET_CLOSED (10018)</w:t>
            </w:r>
          </w:p>
        </w:tc>
        <w:tc>
          <w:tcPr>
            <w:tcW w:type="dxa" w:w="19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retcode from OnTrade</w:t>
            </w:r>
          </w:p>
        </w:tc>
        <w:tc>
          <w:tcPr>
            <w:tcW w:type="dxa" w:w="324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Abort order; queue for re-submission on market open</w:t>
            </w:r>
          </w:p>
        </w:tc>
        <w:tc>
          <w:tcPr>
            <w:tcW w:type="dxa" w:w="10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Log only</w:t>
            </w:r>
          </w:p>
        </w:tc>
      </w:tr>
      <w:tr>
        <w:trPr>
          <w:cantSplit/>
        </w:trPr>
        <w:tc>
          <w:tcPr>
            <w:tcW w:type="dxa" w:w="27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Broker disconnect mid-flight</w:t>
            </w:r>
          </w:p>
        </w:tc>
        <w:tc>
          <w:tcPr>
            <w:tcW w:type="dxa" w:w="19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Bridge heartbeat fail</w:t>
            </w:r>
          </w:p>
        </w:tc>
        <w:tc>
          <w:tcPr>
            <w:tcW w:type="dxa" w:w="324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Mark all SENT orders as ERROR; reconcile on reconnect</w:t>
            </w:r>
          </w:p>
        </w:tc>
        <w:tc>
          <w:tcPr>
            <w:tcW w:type="dxa" w:w="10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P1 PagerDuty</w:t>
            </w:r>
          </w:p>
        </w:tc>
      </w:tr>
      <w:tr>
        <w:trPr>
          <w:cantSplit/>
        </w:trPr>
        <w:tc>
          <w:tcPr>
            <w:tcW w:type="dxa" w:w="27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Partial fill (qty &lt; order qty)</w:t>
            </w:r>
          </w:p>
        </w:tc>
        <w:tc>
          <w:tcPr>
            <w:tcW w:type="dxa" w:w="19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Fill callback</w:t>
            </w:r>
          </w:p>
        </w:tc>
        <w:tc>
          <w:tcPr>
            <w:tcW w:type="dxa" w:w="324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Track residual; re-route or cancel per strategy</w:t>
            </w:r>
          </w:p>
        </w:tc>
        <w:tc>
          <w:tcPr>
            <w:tcW w:type="dxa" w:w="10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Log only</w:t>
            </w:r>
          </w:p>
        </w:tc>
      </w:tr>
      <w:tr>
        <w:trPr>
          <w:cantSplit/>
        </w:trPr>
        <w:tc>
          <w:tcPr>
            <w:tcW w:type="dxa" w:w="27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Duplicate fill (fill_id seen)</w:t>
            </w:r>
          </w:p>
        </w:tc>
        <w:tc>
          <w:tcPr>
            <w:tcW w:type="dxa" w:w="19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fill_id Bloom filter</w:t>
            </w:r>
          </w:p>
        </w:tc>
        <w:tc>
          <w:tcPr>
            <w:tcW w:type="dxa" w:w="324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Drop duplicate; log warning; do not double-count</w:t>
            </w:r>
          </w:p>
        </w:tc>
        <w:tc>
          <w:tcPr>
            <w:tcW w:type="dxa" w:w="10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Log only</w:t>
            </w:r>
          </w:p>
        </w:tc>
      </w:tr>
      <w:tr>
        <w:trPr>
          <w:cantSplit/>
        </w:trPr>
        <w:tc>
          <w:tcPr>
            <w:tcW w:type="dxa" w:w="27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Orphan (local has, broker doesn't)</w:t>
            </w:r>
          </w:p>
        </w:tc>
        <w:tc>
          <w:tcPr>
            <w:tcW w:type="dxa" w:w="19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5s reconciliation</w:t>
            </w:r>
          </w:p>
        </w:tc>
        <w:tc>
          <w:tcPr>
            <w:tcW w:type="dxa" w:w="324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Cancel local; audit; investigate root cause</w:t>
            </w:r>
          </w:p>
        </w:tc>
        <w:tc>
          <w:tcPr>
            <w:tcW w:type="dxa" w:w="10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P2 email</w:t>
            </w:r>
          </w:p>
        </w:tc>
      </w:tr>
      <w:tr>
        <w:trPr>
          <w:cantSplit/>
        </w:trPr>
        <w:tc>
          <w:tcPr>
            <w:tcW w:type="dxa" w:w="27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Phantom (broker has, local doesn't)</w:t>
            </w:r>
          </w:p>
        </w:tc>
        <w:tc>
          <w:tcPr>
            <w:tcW w:type="dxa" w:w="19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5s reconciliation</w:t>
            </w:r>
          </w:p>
        </w:tc>
        <w:tc>
          <w:tcPr>
            <w:tcW w:type="dxa" w:w="324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Adopt if from this client; flatten if unknown</w:t>
            </w:r>
          </w:p>
        </w:tc>
        <w:tc>
          <w:tcPr>
            <w:tcW w:type="dxa" w:w="10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P1 PagerDuty</w:t>
            </w:r>
          </w:p>
        </w:tc>
      </w:tr>
      <w:tr>
        <w:trPr>
          <w:cantSplit/>
        </w:trPr>
        <w:tc>
          <w:tcPr>
            <w:tcW w:type="dxa" w:w="27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EQS score &lt; 40 (CRITICAL)</w:t>
            </w:r>
          </w:p>
        </w:tc>
        <w:tc>
          <w:tcPr>
            <w:tcW w:type="dxa" w:w="19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Rolling 10-order avg</w:t>
            </w:r>
          </w:p>
        </w:tc>
        <w:tc>
          <w:tcPr>
            <w:tcW w:type="dxa" w:w="324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Auto-pause strategy; engage risk-off mode</w:t>
            </w:r>
          </w:p>
        </w:tc>
        <w:tc>
          <w:tcPr>
            <w:tcW w:type="dxa" w:w="10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P1 PagerDuty</w:t>
            </w:r>
          </w:p>
        </w:tc>
      </w:tr>
      <w:tr>
        <w:trPr>
          <w:cantSplit/>
        </w:trPr>
        <w:tc>
          <w:tcPr>
            <w:tcW w:type="dxa" w:w="27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Slippage outlier (|slip-μ| &gt; 3σ)</w:t>
            </w:r>
          </w:p>
        </w:tc>
        <w:tc>
          <w:tcPr>
            <w:tcW w:type="dxa" w:w="19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SlippageMonitor</w:t>
            </w:r>
          </w:p>
        </w:tc>
        <w:tc>
          <w:tcPr>
            <w:tcW w:type="dxa" w:w="324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Reduce position size 50% for 1h; investigate</w:t>
            </w:r>
          </w:p>
        </w:tc>
        <w:tc>
          <w:tcPr>
            <w:tcW w:type="dxa" w:w="10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P2 email</w:t>
            </w:r>
          </w:p>
        </w:tc>
      </w:tr>
      <w:tr>
        <w:trPr>
          <w:cantSplit/>
        </w:trPr>
        <w:tc>
          <w:tcPr>
            <w:tcW w:type="dxa" w:w="27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Retry budget exhausted (3 retries)</w:t>
            </w:r>
          </w:p>
        </w:tc>
        <w:tc>
          <w:tcPr>
            <w:tcW w:type="dxa" w:w="19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RetryManager counter</w:t>
            </w:r>
          </w:p>
        </w:tc>
        <w:tc>
          <w:tcPr>
            <w:tcW w:type="dxa" w:w="324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Abort order; log; do not re-enter NEW</w:t>
            </w:r>
          </w:p>
        </w:tc>
        <w:tc>
          <w:tcPr>
            <w:tcW w:type="dxa" w:w="10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P2 email</w:t>
            </w:r>
          </w:p>
        </w:tc>
      </w:tr>
      <w:tr>
        <w:trPr>
          <w:cantSplit/>
        </w:trPr>
        <w:tc>
          <w:tcPr>
            <w:tcW w:type="dxa" w:w="27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Idempotency violation (dup client_id)</w:t>
            </w:r>
          </w:p>
        </w:tc>
        <w:tc>
          <w:tcPr>
            <w:tcW w:type="dxa" w:w="19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Bloom filter check</w:t>
            </w:r>
          </w:p>
        </w:tc>
        <w:tc>
          <w:tcPr>
            <w:tcW w:type="dxa" w:w="324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Drop duplicate; log; alert if rate &gt; 1/min</w:t>
            </w:r>
          </w:p>
        </w:tc>
        <w:tc>
          <w:tcPr>
            <w:tcW w:type="dxa" w:w="10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P2 email</w:t>
            </w:r>
          </w:p>
        </w:tc>
      </w:tr>
      <w:tr>
        <w:trPr>
          <w:cantSplit/>
        </w:trPr>
        <w:tc>
          <w:tcPr>
            <w:tcW w:type="dxa" w:w="27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Kill switch engaged mid-order</w:t>
            </w:r>
          </w:p>
        </w:tc>
        <w:tc>
          <w:tcPr>
            <w:tcW w:type="dxa" w:w="19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Atomic flag check</w:t>
            </w:r>
          </w:p>
        </w:tc>
        <w:tc>
          <w:tcPr>
            <w:tcW w:type="dxa" w:w="324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Cancel pending; flatten filled portion; halt</w:t>
            </w:r>
          </w:p>
        </w:tc>
        <w:tc>
          <w:tcPr>
            <w:tcW w:type="dxa" w:w="10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P1 PagerDuty</w:t>
            </w:r>
          </w:p>
        </w:tc>
      </w:tr>
    </w:tbl>
    <w:p>
      <w:pPr>
        <w:spacing w:after="200"/>
      </w:pPr>
    </w:p>
    <w:p>
      <w:pPr>
        <w:pStyle w:val="Heading1"/>
        <w:pageBreakBefore/>
        <w:pBdr>
          <w:bottom w:val="single" w:color="C8102E" w:sz="18" w:space="4"/>
        </w:pBdr>
        <w:spacing w:after="240" w:before="480"/>
      </w:pPr>
      <w:bookmarkStart w:id="100072" w:name="_Toc100072"/>
      <w:r>
        <w:rPr>
          <w:rFonts w:ascii="Liberation Serif" w:cs="Liberation Serif" w:eastAsia="Liberation Serif" w:hAnsi="Liberation Serif"/>
          <w:b/>
          <w:bCs/>
          <w:color w:val="14213D"/>
          <w:sz w:val="40"/>
          <w:szCs w:val="40"/>
        </w:rPr>
        <w:t xml:space="preserve">Chapter 13 — Performance Benchmarks</w:t>
      </w:r>
      <w:bookmarkEnd w:id="100072"/>
    </w:p>
    <w:p>
      <w:pPr>
        <w:spacing w:after="160" w:line="312"/>
        <w:jc w:val="both"/>
      </w:pPr>
      <w:r>
        <w:rPr>
          <w:rFonts w:ascii="Liberation Serif" w:cs="Liberation Serif" w:eastAsia="Liberation Serif" w:hAnsi="Liberation Serif"/>
          <w:color w:val="14213D"/>
          <w:sz w:val="22"/>
          <w:szCs w:val="22"/>
        </w:rPr>
        <w:t xml:space="preserve">The IEE is designed to meet specific, measurable performance targets. These targets are enforced as CI gates — a build that fails to meet them cannot be promoted to canary. This chapter documents the latency budget, throughput targets, resource envelope, and the engineering techniques used to achieve them.</w:t>
      </w:r>
    </w:p>
    <w:p>
      <w:pPr>
        <w:spacing w:after="100" w:before="200"/>
        <w:jc w:val="center"/>
      </w:pPr>
      <w:r>
        <w:drawing>
          <wp:inline distT="0" distB="0" distL="0" distR="0">
            <wp:extent cx="59436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2600325"/>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13.1 — Signal-to-fill latency budget breakdown with per-stage p50/p99/p99.9, plus resource envelope (CPU, RAM, throughput, heap allocations).</w:t>
      </w:r>
    </w:p>
    <w:p>
      <w:pPr>
        <w:pStyle w:val="Heading2"/>
        <w:spacing w:after="160" w:before="320"/>
      </w:pPr>
      <w:bookmarkStart w:id="100073" w:name="_Toc100073"/>
      <w:r>
        <w:rPr>
          <w:rFonts w:ascii="Liberation Serif" w:cs="Liberation Serif" w:eastAsia="Liberation Serif" w:hAnsi="Liberation Serif"/>
          <w:b/>
          <w:bCs/>
          <w:color w:val="14213D"/>
          <w:sz w:val="28"/>
          <w:szCs w:val="28"/>
        </w:rPr>
        <w:t xml:space="preserve">Latency Budget</w:t>
      </w:r>
      <w:bookmarkEnd w:id="100073"/>
    </w:p>
    <w:p>
      <w:pPr>
        <w:spacing w:after="160" w:line="312"/>
        <w:jc w:val="both"/>
      </w:pPr>
      <w:r>
        <w:rPr>
          <w:rFonts w:ascii="Liberation Serif" w:cs="Liberation Serif" w:eastAsia="Liberation Serif" w:hAnsi="Liberation Serif"/>
          <w:color w:val="14213D"/>
          <w:sz w:val="22"/>
          <w:szCs w:val="22"/>
        </w:rPr>
        <w:t xml:space="preserve">The internal signal-to-fill latency budget (excluding broker round-trip) is 2.0 ms at p99, achieved by a 0.95 ms p50 hot path. The end-to-end budget including broker round-trip is 6.0 ms at p99. The largest budget consumers are the RiskGate synchronous call (0.15 ms p50, 0.30 ms p99) and the MT5 OrderSend (0.50 ms p50, 1.50 ms p99). The broker round-trip is the largest single component (1.50 ms p50, 4.00 ms p99) but is not under our control. The full per-stage breakdown is shown in Figure 13.1.</w:t>
      </w:r>
    </w:p>
    <w:p>
      <w:pPr>
        <w:pStyle w:val="Heading2"/>
        <w:spacing w:after="160" w:before="320"/>
      </w:pPr>
      <w:bookmarkStart w:id="100074" w:name="_Toc100074"/>
      <w:r>
        <w:rPr>
          <w:rFonts w:ascii="Liberation Serif" w:cs="Liberation Serif" w:eastAsia="Liberation Serif" w:hAnsi="Liberation Serif"/>
          <w:b/>
          <w:bCs/>
          <w:color w:val="14213D"/>
          <w:sz w:val="28"/>
          <w:szCs w:val="28"/>
        </w:rPr>
        <w:t xml:space="preserve">Throughput Targets</w:t>
      </w:r>
      <w:bookmarkEnd w:id="100074"/>
    </w:p>
    <w:tbl>
      <w:tblPr>
        <w:tblW w:type="dxa" w:w="9000"/>
        <w:tblBorders>
          <w:top w:val="single" w:color="14213D" w:sz="6"/>
          <w:left w:val="single" w:color="CBD5E1" w:sz="4"/>
          <w:bottom w:val="single" w:color="14213D" w:sz="6"/>
          <w:right w:val="single" w:color="CBD5E1" w:sz="4"/>
          <w:insideH w:val="single" w:color="CBD5E1" w:sz="4"/>
          <w:insideV w:val="single" w:color="CBD5E1" w:sz="4"/>
        </w:tblBorders>
      </w:tblPr>
      <w:tblGrid>
        <w:gridCol w:w="100"/>
        <w:gridCol w:w="100"/>
        <w:gridCol w:w="100"/>
        <w:gridCol w:w="100"/>
        <w:gridCol w:w="100"/>
      </w:tblGrid>
      <w:tr>
        <w:trPr>
          <w:cantSplit/>
          <w:tblHeader/>
        </w:trPr>
        <w:tc>
          <w:tcPr>
            <w:tcW w:type="dxa" w:w="198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Metric</w:t>
            </w:r>
          </w:p>
        </w:tc>
        <w:tc>
          <w:tcPr>
            <w:tcW w:type="dxa" w:w="180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Target</w:t>
            </w:r>
          </w:p>
        </w:tc>
        <w:tc>
          <w:tcPr>
            <w:tcW w:type="dxa" w:w="162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Sustained</w:t>
            </w:r>
          </w:p>
        </w:tc>
        <w:tc>
          <w:tcPr>
            <w:tcW w:type="dxa" w:w="252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Burst</w:t>
            </w:r>
          </w:p>
        </w:tc>
        <w:tc>
          <w:tcPr>
            <w:tcW w:type="dxa" w:w="198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Measurement</w:t>
            </w:r>
          </w:p>
        </w:tc>
      </w:tr>
      <w:tr>
        <w:trPr>
          <w:cantSplit/>
        </w:trPr>
        <w:tc>
          <w:tcPr>
            <w:tcW w:type="dxa" w:w="19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Tick ingestion</w:t>
            </w:r>
          </w:p>
        </w:tc>
        <w:tc>
          <w:tcPr>
            <w:tcW w:type="dxa" w:w="18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50,000 ticks/s</w:t>
            </w:r>
          </w:p>
        </w:tc>
        <w:tc>
          <w:tcPr>
            <w:tcW w:type="dxa" w:w="16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1 hour</w:t>
            </w:r>
          </w:p>
        </w:tc>
        <w:tc>
          <w:tcPr>
            <w:tcW w:type="dxa" w:w="25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100,000 ticks/s (1 min)</w:t>
            </w:r>
          </w:p>
        </w:tc>
        <w:tc>
          <w:tcPr>
            <w:tcW w:type="dxa" w:w="19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Locust load test</w:t>
            </w:r>
          </w:p>
        </w:tc>
      </w:tr>
      <w:tr>
        <w:trPr>
          <w:cantSplit/>
        </w:trPr>
        <w:tc>
          <w:tcPr>
            <w:tcW w:type="dxa" w:w="19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Order submission</w:t>
            </w:r>
          </w:p>
        </w:tc>
        <w:tc>
          <w:tcPr>
            <w:tcW w:type="dxa" w:w="18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200 orders/s</w:t>
            </w:r>
          </w:p>
        </w:tc>
        <w:tc>
          <w:tcPr>
            <w:tcW w:type="dxa" w:w="16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5 min</w:t>
            </w:r>
          </w:p>
        </w:tc>
        <w:tc>
          <w:tcPr>
            <w:tcW w:type="dxa" w:w="25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500 orders/s (30s)</w:t>
            </w:r>
          </w:p>
        </w:tc>
        <w:tc>
          <w:tcPr>
            <w:tcW w:type="dxa" w:w="19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Custom C++ bench</w:t>
            </w:r>
          </w:p>
        </w:tc>
      </w:tr>
      <w:tr>
        <w:trPr>
          <w:cantSplit/>
        </w:trPr>
        <w:tc>
          <w:tcPr>
            <w:tcW w:type="dxa" w:w="19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Fill processing</w:t>
            </w:r>
          </w:p>
        </w:tc>
        <w:tc>
          <w:tcPr>
            <w:tcW w:type="dxa" w:w="18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500 fills/s</w:t>
            </w:r>
          </w:p>
        </w:tc>
        <w:tc>
          <w:tcPr>
            <w:tcW w:type="dxa" w:w="16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5 min</w:t>
            </w:r>
          </w:p>
        </w:tc>
        <w:tc>
          <w:tcPr>
            <w:tcW w:type="dxa" w:w="25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1000 fills/s (30s)</w:t>
            </w:r>
          </w:p>
        </w:tc>
        <w:tc>
          <w:tcPr>
            <w:tcW w:type="dxa" w:w="19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Custom C++ bench</w:t>
            </w:r>
          </w:p>
        </w:tc>
      </w:tr>
      <w:tr>
        <w:trPr>
          <w:cantSplit/>
        </w:trPr>
        <w:tc>
          <w:tcPr>
            <w:tcW w:type="dxa" w:w="19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Cancel processing</w:t>
            </w:r>
          </w:p>
        </w:tc>
        <w:tc>
          <w:tcPr>
            <w:tcW w:type="dxa" w:w="18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200 cancels/s</w:t>
            </w:r>
          </w:p>
        </w:tc>
        <w:tc>
          <w:tcPr>
            <w:tcW w:type="dxa" w:w="16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5 min</w:t>
            </w:r>
          </w:p>
        </w:tc>
        <w:tc>
          <w:tcPr>
            <w:tcW w:type="dxa" w:w="25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500 cancels/s (30s)</w:t>
            </w:r>
          </w:p>
        </w:tc>
        <w:tc>
          <w:tcPr>
            <w:tcW w:type="dxa" w:w="19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Custom C++ bench</w:t>
            </w:r>
          </w:p>
        </w:tc>
      </w:tr>
      <w:tr>
        <w:trPr>
          <w:cantSplit/>
        </w:trPr>
        <w:tc>
          <w:tcPr>
            <w:tcW w:type="dxa" w:w="19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Reconciliation cycle</w:t>
            </w:r>
          </w:p>
        </w:tc>
        <w:tc>
          <w:tcPr>
            <w:tcW w:type="dxa" w:w="18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every 5s</w:t>
            </w:r>
          </w:p>
        </w:tc>
        <w:tc>
          <w:tcPr>
            <w:tcW w:type="dxa" w:w="16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continuous</w:t>
            </w:r>
          </w:p>
        </w:tc>
        <w:tc>
          <w:tcPr>
            <w:tcW w:type="dxa" w:w="25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every 2s (under load)</w:t>
            </w:r>
          </w:p>
        </w:tc>
        <w:tc>
          <w:tcPr>
            <w:tcW w:type="dxa" w:w="19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Timer observation</w:t>
            </w:r>
          </w:p>
        </w:tc>
      </w:tr>
      <w:tr>
        <w:trPr>
          <w:cantSplit/>
        </w:trPr>
        <w:tc>
          <w:tcPr>
            <w:tcW w:type="dxa" w:w="19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Audit log write</w:t>
            </w:r>
          </w:p>
        </w:tc>
        <w:tc>
          <w:tcPr>
            <w:tcW w:type="dxa" w:w="18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1000 events/s</w:t>
            </w:r>
          </w:p>
        </w:tc>
        <w:tc>
          <w:tcPr>
            <w:tcW w:type="dxa" w:w="16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1 hour</w:t>
            </w:r>
          </w:p>
        </w:tc>
        <w:tc>
          <w:tcPr>
            <w:tcW w:type="dxa" w:w="25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5000 events/s (1 min)</w:t>
            </w:r>
          </w:p>
        </w:tc>
        <w:tc>
          <w:tcPr>
            <w:tcW w:type="dxa" w:w="19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I/O benchmark</w:t>
            </w:r>
          </w:p>
        </w:tc>
      </w:tr>
    </w:tbl>
    <w:p>
      <w:pPr>
        <w:spacing w:after="200"/>
      </w:pPr>
    </w:p>
    <w:p>
      <w:pPr>
        <w:pStyle w:val="Heading2"/>
        <w:spacing w:after="160" w:before="320"/>
      </w:pPr>
      <w:bookmarkStart w:id="100075" w:name="_Toc100075"/>
      <w:r>
        <w:rPr>
          <w:rFonts w:ascii="Liberation Serif" w:cs="Liberation Serif" w:eastAsia="Liberation Serif" w:hAnsi="Liberation Serif"/>
          <w:b/>
          <w:bCs/>
          <w:color w:val="14213D"/>
          <w:sz w:val="28"/>
          <w:szCs w:val="28"/>
        </w:rPr>
        <w:t xml:space="preserve">Resource Envelope</w:t>
      </w:r>
      <w:bookmarkEnd w:id="100075"/>
    </w:p>
    <w:p>
      <w:pPr>
        <w:spacing w:after="160" w:line="312"/>
        <w:jc w:val="both"/>
      </w:pPr>
      <w:r>
        <w:rPr>
          <w:rFonts w:ascii="Liberation Serif" w:cs="Liberation Serif" w:eastAsia="Liberation Serif" w:hAnsi="Liberation Serif"/>
          <w:color w:val="14213D"/>
          <w:sz w:val="22"/>
          <w:szCs w:val="22"/>
        </w:rPr>
        <w:t xml:space="preserve">The IEE is designed to operate within a strict resource envelope, ensuring predictable performance and enabling capacity planning. The envelope is enforced via cgroups and monitored via Prometheus:</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CPU: 2 cores pinned (CPU 2-3 isolated, NO_HZ_FULL, rcu_nocbs). 4 additional cores for L1/L4/L5/L6 (CPUs 4-7).</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RAM: under 256 MB resident per process, 4 GB hugepages reserved for ring buffers (2MB pages, 2048 pages).</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Disk I/O: under 5 MB/s for audit log (batched 10ms flush), under 1 MB/s for Redis replication.</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Network: under 10 Mbps for ZMQ (tick ingress + event bus), under 1 Mbps for Redis (state replication).</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Heap allocations on hot path: 0 per order (enforced by static analyzer; Order pool is pre-allocated).</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Syscalls on hot path: 0 per order (enforced by static analyzer; all I/O delegated to worker threads).</w:t>
      </w:r>
    </w:p>
    <w:p>
      <w:pPr>
        <w:pStyle w:val="Heading2"/>
        <w:spacing w:after="160" w:before="320"/>
      </w:pPr>
      <w:bookmarkStart w:id="100076" w:name="_Toc100076"/>
      <w:r>
        <w:rPr>
          <w:rFonts w:ascii="Liberation Serif" w:cs="Liberation Serif" w:eastAsia="Liberation Serif" w:hAnsi="Liberation Serif"/>
          <w:b/>
          <w:bCs/>
          <w:color w:val="14213D"/>
          <w:sz w:val="28"/>
          <w:szCs w:val="28"/>
        </w:rPr>
        <w:t xml:space="preserve">Performance Engineering Techniques</w:t>
      </w:r>
      <w:bookmarkEnd w:id="100076"/>
    </w:p>
    <w:p>
      <w:pPr>
        <w:pStyle w:val="Heading3"/>
        <w:spacing w:after="120" w:before="240"/>
      </w:pPr>
      <w:bookmarkStart w:id="100077" w:name="_Toc100077"/>
      <w:r>
        <w:rPr>
          <w:rFonts w:ascii="Liberation Serif" w:cs="Liberation Serif" w:eastAsia="Liberation Serif" w:hAnsi="Liberation Serif"/>
          <w:b/>
          <w:bCs/>
          <w:color w:val="C8102E"/>
          <w:sz w:val="24"/>
          <w:szCs w:val="24"/>
        </w:rPr>
        <w:t xml:space="preserve">CPU Pinning &amp; Isolation</w:t>
      </w:r>
      <w:bookmarkEnd w:id="100077"/>
    </w:p>
    <w:p>
      <w:pPr>
        <w:spacing w:after="160" w:line="312"/>
        <w:jc w:val="both"/>
      </w:pPr>
      <w:r>
        <w:rPr>
          <w:rFonts w:ascii="Liberation Serif" w:cs="Liberation Serif" w:eastAsia="Liberation Serif" w:hAnsi="Liberation Serif"/>
          <w:color w:val="14213D"/>
          <w:sz w:val="22"/>
          <w:szCs w:val="22"/>
        </w:rPr>
        <w:t xml:space="preserve">The hot-path thread is pinned to CPU 2-3 via systemd CPUAffinity. The kernel is instructed to never schedule other tasks there via isolcpus=2,3. NO_HZ_FULL eliminates timer ticks on those cores, and rcu_nocbs=2,3 offloads RCU callbacks. The result is fewer than 1 kernel preemption per second under load, compared to thousands per second on a default kernel. This is the single most impactful change for latency predictability.</w:t>
      </w:r>
    </w:p>
    <w:p>
      <w:pPr>
        <w:pStyle w:val="Heading3"/>
        <w:spacing w:after="120" w:before="240"/>
      </w:pPr>
      <w:bookmarkStart w:id="100078" w:name="_Toc100078"/>
      <w:r>
        <w:rPr>
          <w:rFonts w:ascii="Liberation Serif" w:cs="Liberation Serif" w:eastAsia="Liberation Serif" w:hAnsi="Liberation Serif"/>
          <w:b/>
          <w:bCs/>
          <w:color w:val="C8102E"/>
          <w:sz w:val="24"/>
          <w:szCs w:val="24"/>
        </w:rPr>
        <w:t xml:space="preserve">Lock-Free SPSC Queues</w:t>
      </w:r>
      <w:bookmarkEnd w:id="100078"/>
    </w:p>
    <w:p>
      <w:pPr>
        <w:spacing w:after="160" w:line="312"/>
        <w:jc w:val="both"/>
      </w:pPr>
      <w:r>
        <w:rPr>
          <w:rFonts w:ascii="Liberation Serif" w:cs="Liberation Serif" w:eastAsia="Liberation Serif" w:hAnsi="Liberation Serif"/>
          <w:color w:val="14213D"/>
          <w:sz w:val="22"/>
          <w:szCs w:val="22"/>
        </w:rPr>
        <w:t xml:space="preserve">Inter-thread communication uses lock-free SPSC queues based on moodycamel::ConcurrentQueue. Each push and pop is a single atomic load and store, with no locks, no condition variables, and no syscalls. Cache-line padding (64 bytes) prevents false sharing between producer and consumer. The queues are sized for worst-case burst scenarios and apply drop-and-audit backpressure when full.</w:t>
      </w:r>
    </w:p>
    <w:p>
      <w:pPr>
        <w:pStyle w:val="Heading3"/>
        <w:spacing w:after="120" w:before="240"/>
      </w:pPr>
      <w:bookmarkStart w:id="100079" w:name="_Toc100079"/>
      <w:r>
        <w:rPr>
          <w:rFonts w:ascii="Liberation Serif" w:cs="Liberation Serif" w:eastAsia="Liberation Serif" w:hAnsi="Liberation Serif"/>
          <w:b/>
          <w:bCs/>
          <w:color w:val="C8102E"/>
          <w:sz w:val="24"/>
          <w:szCs w:val="24"/>
        </w:rPr>
        <w:t xml:space="preserve">Pre-Allocation &amp; Pool Allocation</w:t>
      </w:r>
      <w:bookmarkEnd w:id="100079"/>
    </w:p>
    <w:p>
      <w:pPr>
        <w:spacing w:after="160" w:line="312"/>
        <w:jc w:val="both"/>
      </w:pPr>
      <w:r>
        <w:rPr>
          <w:rFonts w:ascii="Liberation Serif" w:cs="Liberation Serif" w:eastAsia="Liberation Serif" w:hAnsi="Liberation Serif"/>
          <w:color w:val="14213D"/>
          <w:sz w:val="22"/>
          <w:szCs w:val="22"/>
        </w:rPr>
        <w:t xml:space="preserve">All hot-path memory is pre-allocated at startup. The Order pool (4096 orders) is allocated as a contiguous array and managed via a free-list; allocation is a single pointer swap. Message buffers come from a slab allocator with size-class buckets. Ring buffers are sized at startup based on configured capacity. No malloc, no new, no std::vector resize, no std::string concatenation on the hot path. This gives O(1) allocation latency and a hard cap on memory usage.</w:t>
      </w:r>
    </w:p>
    <w:p>
      <w:pPr>
        <w:pStyle w:val="Heading3"/>
        <w:spacing w:after="120" w:before="240"/>
      </w:pPr>
      <w:bookmarkStart w:id="100080" w:name="_Toc100080"/>
      <w:r>
        <w:rPr>
          <w:rFonts w:ascii="Liberation Serif" w:cs="Liberation Serif" w:eastAsia="Liberation Serif" w:hAnsi="Liberation Serif"/>
          <w:b/>
          <w:bCs/>
          <w:color w:val="C8102E"/>
          <w:sz w:val="24"/>
          <w:szCs w:val="24"/>
        </w:rPr>
        <w:t xml:space="preserve">Branchless Hot Path</w:t>
      </w:r>
      <w:bookmarkEnd w:id="100080"/>
    </w:p>
    <w:p>
      <w:pPr>
        <w:spacing w:after="160" w:line="312"/>
        <w:jc w:val="both"/>
      </w:pPr>
      <w:r>
        <w:rPr>
          <w:rFonts w:ascii="Liberation Serif" w:cs="Liberation Serif" w:eastAsia="Liberation Serif" w:hAnsi="Liberation Serif"/>
          <w:color w:val="14213D"/>
          <w:sz w:val="22"/>
          <w:szCs w:val="22"/>
        </w:rPr>
        <w:t xml:space="preserve">The hot path is written to be branchless where possible, using ternary operators and arithmetic instead of if-statements. Branch mispredictions cost 10-20 nanoseconds each on modern CPUs, and unpredictable branches (e.g., "if order is rejected") can mispredict 50% of the time. The static analyzer flags any branch in the hot path that is not marked as __builtin_expect, forcing developers to either eliminate the branch or annotate it with predicted direction.</w:t>
      </w:r>
    </w:p>
    <w:p>
      <w:pPr>
        <w:pStyle w:val="Heading1"/>
        <w:pageBreakBefore/>
        <w:pBdr>
          <w:bottom w:val="single" w:color="C8102E" w:sz="18" w:space="4"/>
        </w:pBdr>
        <w:spacing w:after="240" w:before="480"/>
      </w:pPr>
      <w:bookmarkStart w:id="100081" w:name="_Toc100081"/>
      <w:r>
        <w:rPr>
          <w:rFonts w:ascii="Liberation Serif" w:cs="Liberation Serif" w:eastAsia="Liberation Serif" w:hAnsi="Liberation Serif"/>
          <w:b/>
          <w:bCs/>
          <w:color w:val="14213D"/>
          <w:sz w:val="40"/>
          <w:szCs w:val="40"/>
        </w:rPr>
        <w:t xml:space="preserve">Chapter 14 — Validation Tests</w:t>
      </w:r>
      <w:bookmarkEnd w:id="100081"/>
    </w:p>
    <w:p>
      <w:pPr>
        <w:spacing w:after="160" w:line="312"/>
        <w:jc w:val="both"/>
      </w:pPr>
      <w:r>
        <w:rPr>
          <w:rFonts w:ascii="Liberation Serif" w:cs="Liberation Serif" w:eastAsia="Liberation Serif" w:hAnsi="Liberation Serif"/>
          <w:color w:val="14213D"/>
          <w:sz w:val="22"/>
          <w:szCs w:val="22"/>
        </w:rPr>
        <w:t xml:space="preserve">The IEE is covered by a five-layer test pyramid: unit tests (per-component logic), integration tests (Pact contracts between layers), lifecycle tests (FSM transition coverage), performance tests (latency and throughput enforcement), and chaos tests (fault injection). The complete pyramid and per-subsystem coverage matrix are shown in Figure 14.1.</w:t>
      </w:r>
    </w:p>
    <w:p>
      <w:pPr>
        <w:spacing w:after="100" w:before="200"/>
        <w:jc w:val="center"/>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3714750"/>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14.1 — Test pyramid (5 layers) with per-subsystem coverage matrix, plus test layer reference table.</w:t>
      </w:r>
    </w:p>
    <w:p>
      <w:pPr>
        <w:pStyle w:val="Heading2"/>
        <w:spacing w:after="160" w:before="320"/>
      </w:pPr>
      <w:bookmarkStart w:id="100082" w:name="_Toc100082"/>
      <w:r>
        <w:rPr>
          <w:rFonts w:ascii="Liberation Serif" w:cs="Liberation Serif" w:eastAsia="Liberation Serif" w:hAnsi="Liberation Serif"/>
          <w:b/>
          <w:bCs/>
          <w:color w:val="14213D"/>
          <w:sz w:val="28"/>
          <w:szCs w:val="28"/>
        </w:rPr>
        <w:t xml:space="preserve">Unit Test Cases — Sample</w:t>
      </w:r>
      <w:bookmarkEnd w:id="100082"/>
    </w:p>
    <w:p>
      <w:pPr>
        <w:spacing w:after="160" w:line="312"/>
        <w:jc w:val="both"/>
      </w:pPr>
      <w:r>
        <w:rPr>
          <w:rFonts w:ascii="Liberation Serif" w:cs="Liberation Serif" w:eastAsia="Liberation Serif" w:hAnsi="Liberation Serif"/>
          <w:color w:val="14213D"/>
          <w:sz w:val="22"/>
          <w:szCs w:val="22"/>
        </w:rPr>
        <w:t xml:space="preserve">Unit tests cover pure functions and isolated components with all dependencies mocked. Property-based tests (via hypothesis) verify FSM invariants. Below are sample test cases for the OrderManager FSM and the RetryManager.</w:t>
      </w:r>
    </w:p>
    <w:p>
      <w:pPr>
        <w:pStyle w:val="Heading3"/>
        <w:spacing w:after="120" w:before="240"/>
      </w:pPr>
      <w:bookmarkStart w:id="100083" w:name="_Toc100083"/>
      <w:r>
        <w:rPr>
          <w:rFonts w:ascii="Liberation Serif" w:cs="Liberation Serif" w:eastAsia="Liberation Serif" w:hAnsi="Liberation Serif"/>
          <w:b/>
          <w:bCs/>
          <w:color w:val="C8102E"/>
          <w:sz w:val="24"/>
          <w:szCs w:val="24"/>
        </w:rPr>
        <w:t xml:space="preserve">Sample Unit Tests — OrderManager FSM</w:t>
      </w:r>
      <w:bookmarkEnd w:id="100083"/>
    </w:p>
    <w:tbl>
      <w:tblPr>
        <w:tblW w:type="dxa" w:w="9000"/>
        <w:tblBorders>
          <w:top w:val="single" w:color="14213D" w:sz="6"/>
          <w:left w:val="single" w:color="CBD5E1" w:sz="4"/>
          <w:bottom w:val="single" w:color="14213D" w:sz="6"/>
          <w:right w:val="single" w:color="CBD5E1" w:sz="4"/>
          <w:insideH w:val="single" w:color="CBD5E1" w:sz="4"/>
          <w:insideV w:val="single" w:color="CBD5E1" w:sz="4"/>
        </w:tblBorders>
      </w:tblPr>
      <w:tblGrid>
        <w:gridCol w:w="100"/>
        <w:gridCol w:w="100"/>
        <w:gridCol w:w="100"/>
        <w:gridCol w:w="100"/>
      </w:tblGrid>
      <w:tr>
        <w:trPr>
          <w:cantSplit/>
          <w:tblHeader/>
        </w:trPr>
        <w:tc>
          <w:tcPr>
            <w:tcW w:type="dxa" w:w="108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Test ID</w:t>
            </w:r>
          </w:p>
        </w:tc>
        <w:tc>
          <w:tcPr>
            <w:tcW w:type="dxa" w:w="288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Scenario</w:t>
            </w:r>
          </w:p>
        </w:tc>
        <w:tc>
          <w:tcPr>
            <w:tcW w:type="dxa" w:w="378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Expected Transition</w:t>
            </w:r>
          </w:p>
        </w:tc>
        <w:tc>
          <w:tcPr>
            <w:tcW w:type="dxa" w:w="126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Severity</w:t>
            </w:r>
          </w:p>
        </w:tc>
      </w:tr>
      <w:tr>
        <w:trPr>
          <w:cantSplit/>
        </w:trPr>
        <w:tc>
          <w:tcPr>
            <w:tcW w:type="dxa" w:w="10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UT-FSM-001</w:t>
            </w:r>
          </w:p>
        </w:tc>
        <w:tc>
          <w:tcPr>
            <w:tcW w:type="dxa" w:w="28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NEW + risk_ok</w:t>
            </w:r>
          </w:p>
        </w:tc>
        <w:tc>
          <w:tcPr>
            <w:tcW w:type="dxa" w:w="37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NEW → VALIDATED</w:t>
            </w:r>
          </w:p>
        </w:tc>
        <w:tc>
          <w:tcPr>
            <w:tcW w:type="dxa" w:w="126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PASS</w:t>
            </w:r>
          </w:p>
        </w:tc>
      </w:tr>
      <w:tr>
        <w:trPr>
          <w:cantSplit/>
        </w:trPr>
        <w:tc>
          <w:tcPr>
            <w:tcW w:type="dxa" w:w="10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UT-FSM-002</w:t>
            </w:r>
          </w:p>
        </w:tc>
        <w:tc>
          <w:tcPr>
            <w:tcW w:type="dxa" w:w="28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NEW + risk_reject</w:t>
            </w:r>
          </w:p>
        </w:tc>
        <w:tc>
          <w:tcPr>
            <w:tcW w:type="dxa" w:w="37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NEW → REJECTED (terminal)</w:t>
            </w:r>
          </w:p>
        </w:tc>
        <w:tc>
          <w:tcPr>
            <w:tcW w:type="dxa" w:w="126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PASS</w:t>
            </w:r>
          </w:p>
        </w:tc>
      </w:tr>
      <w:tr>
        <w:trPr>
          <w:cantSplit/>
        </w:trPr>
        <w:tc>
          <w:tcPr>
            <w:tcW w:type="dxa" w:w="10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UT-FSM-003</w:t>
            </w:r>
          </w:p>
        </w:tc>
        <w:tc>
          <w:tcPr>
            <w:tcW w:type="dxa" w:w="28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VALIDATED + dispatch_ok</w:t>
            </w:r>
          </w:p>
        </w:tc>
        <w:tc>
          <w:tcPr>
            <w:tcW w:type="dxa" w:w="37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VALIDATED → SENT</w:t>
            </w:r>
          </w:p>
        </w:tc>
        <w:tc>
          <w:tcPr>
            <w:tcW w:type="dxa" w:w="126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PASS</w:t>
            </w:r>
          </w:p>
        </w:tc>
      </w:tr>
      <w:tr>
        <w:trPr>
          <w:cantSplit/>
        </w:trPr>
        <w:tc>
          <w:tcPr>
            <w:tcW w:type="dxa" w:w="10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UT-FSM-004</w:t>
            </w:r>
          </w:p>
        </w:tc>
        <w:tc>
          <w:tcPr>
            <w:tcW w:type="dxa" w:w="28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SENT + full_fill</w:t>
            </w:r>
          </w:p>
        </w:tc>
        <w:tc>
          <w:tcPr>
            <w:tcW w:type="dxa" w:w="37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SENT → FILLED (terminal)</w:t>
            </w:r>
          </w:p>
        </w:tc>
        <w:tc>
          <w:tcPr>
            <w:tcW w:type="dxa" w:w="126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PASS</w:t>
            </w:r>
          </w:p>
        </w:tc>
      </w:tr>
      <w:tr>
        <w:trPr>
          <w:cantSplit/>
        </w:trPr>
        <w:tc>
          <w:tcPr>
            <w:tcW w:type="dxa" w:w="10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UT-FSM-005</w:t>
            </w:r>
          </w:p>
        </w:tc>
        <w:tc>
          <w:tcPr>
            <w:tcW w:type="dxa" w:w="28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SENT + partial_fill</w:t>
            </w:r>
          </w:p>
        </w:tc>
        <w:tc>
          <w:tcPr>
            <w:tcW w:type="dxa" w:w="37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SENT → PARTIAL</w:t>
            </w:r>
          </w:p>
        </w:tc>
        <w:tc>
          <w:tcPr>
            <w:tcW w:type="dxa" w:w="126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PASS</w:t>
            </w:r>
          </w:p>
        </w:tc>
      </w:tr>
      <w:tr>
        <w:trPr>
          <w:cantSplit/>
        </w:trPr>
        <w:tc>
          <w:tcPr>
            <w:tcW w:type="dxa" w:w="10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UT-FSM-006</w:t>
            </w:r>
          </w:p>
        </w:tc>
        <w:tc>
          <w:tcPr>
            <w:tcW w:type="dxa" w:w="28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PARTIAL + residual_fill</w:t>
            </w:r>
          </w:p>
        </w:tc>
        <w:tc>
          <w:tcPr>
            <w:tcW w:type="dxa" w:w="37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PARTIAL → FILLED (terminal)</w:t>
            </w:r>
          </w:p>
        </w:tc>
        <w:tc>
          <w:tcPr>
            <w:tcW w:type="dxa" w:w="126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PASS</w:t>
            </w:r>
          </w:p>
        </w:tc>
      </w:tr>
      <w:tr>
        <w:trPr>
          <w:cantSplit/>
        </w:trPr>
        <w:tc>
          <w:tcPr>
            <w:tcW w:type="dxa" w:w="10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UT-FSM-007</w:t>
            </w:r>
          </w:p>
        </w:tc>
        <w:tc>
          <w:tcPr>
            <w:tcW w:type="dxa" w:w="28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SENT + broker_reject (10004)</w:t>
            </w:r>
          </w:p>
        </w:tc>
        <w:tc>
          <w:tcPr>
            <w:tcW w:type="dxa" w:w="37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SENT → REJECTED (terminal)</w:t>
            </w:r>
          </w:p>
        </w:tc>
        <w:tc>
          <w:tcPr>
            <w:tcW w:type="dxa" w:w="126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PASS</w:t>
            </w:r>
          </w:p>
        </w:tc>
      </w:tr>
      <w:tr>
        <w:trPr>
          <w:cantSplit/>
        </w:trPr>
        <w:tc>
          <w:tcPr>
            <w:tcW w:type="dxa" w:w="10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UT-FSM-008</w:t>
            </w:r>
          </w:p>
        </w:tc>
        <w:tc>
          <w:tcPr>
            <w:tcW w:type="dxa" w:w="28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SENT + tif_expired</w:t>
            </w:r>
          </w:p>
        </w:tc>
        <w:tc>
          <w:tcPr>
            <w:tcW w:type="dxa" w:w="37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SENT → EXPIRED (terminal)</w:t>
            </w:r>
          </w:p>
        </w:tc>
        <w:tc>
          <w:tcPr>
            <w:tcW w:type="dxa" w:w="126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PASS</w:t>
            </w:r>
          </w:p>
        </w:tc>
      </w:tr>
      <w:tr>
        <w:trPr>
          <w:cantSplit/>
        </w:trPr>
        <w:tc>
          <w:tcPr>
            <w:tcW w:type="dxa" w:w="10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UT-FSM-009</w:t>
            </w:r>
          </w:p>
        </w:tc>
        <w:tc>
          <w:tcPr>
            <w:tcW w:type="dxa" w:w="28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SENT + submit_timeout (2s)</w:t>
            </w:r>
          </w:p>
        </w:tc>
        <w:tc>
          <w:tcPr>
            <w:tcW w:type="dxa" w:w="37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SENT → ERROR</w:t>
            </w:r>
          </w:p>
        </w:tc>
        <w:tc>
          <w:tcPr>
            <w:tcW w:type="dxa" w:w="126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PASS</w:t>
            </w:r>
          </w:p>
        </w:tc>
      </w:tr>
      <w:tr>
        <w:trPr>
          <w:cantSplit/>
        </w:trPr>
        <w:tc>
          <w:tcPr>
            <w:tcW w:type="dxa" w:w="10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UT-FSM-010</w:t>
            </w:r>
          </w:p>
        </w:tc>
        <w:tc>
          <w:tcPr>
            <w:tcW w:type="dxa" w:w="28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FILLED + any trigger</w:t>
            </w:r>
          </w:p>
        </w:tc>
        <w:tc>
          <w:tcPr>
            <w:tcW w:type="dxa" w:w="37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FATAL: terminal state cannot transition</w:t>
            </w:r>
          </w:p>
        </w:tc>
        <w:tc>
          <w:tcPr>
            <w:tcW w:type="dxa" w:w="126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FAIL-FATAL</w:t>
            </w:r>
          </w:p>
        </w:tc>
      </w:tr>
      <w:tr>
        <w:trPr>
          <w:cantSplit/>
        </w:trPr>
        <w:tc>
          <w:tcPr>
            <w:tcW w:type="dxa" w:w="10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UT-FSM-011</w:t>
            </w:r>
          </w:p>
        </w:tc>
        <w:tc>
          <w:tcPr>
            <w:tcW w:type="dxa" w:w="28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NEW + cancel_request</w:t>
            </w:r>
          </w:p>
        </w:tc>
        <w:tc>
          <w:tcPr>
            <w:tcW w:type="dxa" w:w="37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NEW → CANCELED (terminal)</w:t>
            </w:r>
          </w:p>
        </w:tc>
        <w:tc>
          <w:tcPr>
            <w:tcW w:type="dxa" w:w="126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PASS</w:t>
            </w:r>
          </w:p>
        </w:tc>
      </w:tr>
      <w:tr>
        <w:trPr>
          <w:cantSplit/>
        </w:trPr>
        <w:tc>
          <w:tcPr>
            <w:tcW w:type="dxa" w:w="10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UT-FSM-012</w:t>
            </w:r>
          </w:p>
        </w:tc>
        <w:tc>
          <w:tcPr>
            <w:tcW w:type="dxa" w:w="28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PARTIAL + reroute_residual</w:t>
            </w:r>
          </w:p>
        </w:tc>
        <w:tc>
          <w:tcPr>
            <w:tcW w:type="dxa" w:w="37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PARTIAL → SENT (new client_id)</w:t>
            </w:r>
          </w:p>
        </w:tc>
        <w:tc>
          <w:tcPr>
            <w:tcW w:type="dxa" w:w="126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PASS</w:t>
            </w:r>
          </w:p>
        </w:tc>
      </w:tr>
    </w:tbl>
    <w:p>
      <w:pPr>
        <w:spacing w:after="200"/>
      </w:pPr>
    </w:p>
    <w:p>
      <w:pPr>
        <w:pStyle w:val="Heading3"/>
        <w:spacing w:after="120" w:before="240"/>
      </w:pPr>
      <w:bookmarkStart w:id="100084" w:name="_Toc100084"/>
      <w:r>
        <w:rPr>
          <w:rFonts w:ascii="Liberation Serif" w:cs="Liberation Serif" w:eastAsia="Liberation Serif" w:hAnsi="Liberation Serif"/>
          <w:b/>
          <w:bCs/>
          <w:color w:val="C8102E"/>
          <w:sz w:val="24"/>
          <w:szCs w:val="24"/>
        </w:rPr>
        <w:t xml:space="preserve">Sample Unit Tests — RetryManager</w:t>
      </w:r>
      <w:bookmarkEnd w:id="100084"/>
    </w:p>
    <w:tbl>
      <w:tblPr>
        <w:tblW w:type="dxa" w:w="9000"/>
        <w:tblBorders>
          <w:top w:val="single" w:color="14213D" w:sz="6"/>
          <w:left w:val="single" w:color="CBD5E1" w:sz="4"/>
          <w:bottom w:val="single" w:color="14213D" w:sz="6"/>
          <w:right w:val="single" w:color="CBD5E1" w:sz="4"/>
          <w:insideH w:val="single" w:color="CBD5E1" w:sz="4"/>
          <w:insideV w:val="single" w:color="CBD5E1" w:sz="4"/>
        </w:tblBorders>
      </w:tblPr>
      <w:tblGrid>
        <w:gridCol w:w="100"/>
        <w:gridCol w:w="100"/>
        <w:gridCol w:w="100"/>
        <w:gridCol w:w="100"/>
      </w:tblGrid>
      <w:tr>
        <w:trPr>
          <w:cantSplit/>
          <w:tblHeader/>
        </w:trPr>
        <w:tc>
          <w:tcPr>
            <w:tcW w:type="dxa" w:w="108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Test ID</w:t>
            </w:r>
          </w:p>
        </w:tc>
        <w:tc>
          <w:tcPr>
            <w:tcW w:type="dxa" w:w="288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Scenario</w:t>
            </w:r>
          </w:p>
        </w:tc>
        <w:tc>
          <w:tcPr>
            <w:tcW w:type="dxa" w:w="378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Expected Behavior</w:t>
            </w:r>
          </w:p>
        </w:tc>
        <w:tc>
          <w:tcPr>
            <w:tcW w:type="dxa" w:w="126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Severity</w:t>
            </w:r>
          </w:p>
        </w:tc>
      </w:tr>
      <w:tr>
        <w:trPr>
          <w:cantSplit/>
        </w:trPr>
        <w:tc>
          <w:tcPr>
            <w:tcW w:type="dxa" w:w="10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UT-RTY-001</w:t>
            </w:r>
          </w:p>
        </w:tc>
        <w:tc>
          <w:tcPr>
            <w:tcW w:type="dxa" w:w="28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REQUOTE + retry 0</w:t>
            </w:r>
          </w:p>
        </w:tc>
        <w:tc>
          <w:tcPr>
            <w:tcW w:type="dxa" w:w="37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schedule retry @ 100ms ± 20ms</w:t>
            </w:r>
          </w:p>
        </w:tc>
        <w:tc>
          <w:tcPr>
            <w:tcW w:type="dxa" w:w="126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PASS</w:t>
            </w:r>
          </w:p>
        </w:tc>
      </w:tr>
      <w:tr>
        <w:trPr>
          <w:cantSplit/>
        </w:trPr>
        <w:tc>
          <w:tcPr>
            <w:tcW w:type="dxa" w:w="10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UT-RTY-002</w:t>
            </w:r>
          </w:p>
        </w:tc>
        <w:tc>
          <w:tcPr>
            <w:tcW w:type="dxa" w:w="28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REQUOTE + retry 1</w:t>
            </w:r>
          </w:p>
        </w:tc>
        <w:tc>
          <w:tcPr>
            <w:tcW w:type="dxa" w:w="37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schedule retry @ 300ms ± 20ms</w:t>
            </w:r>
          </w:p>
        </w:tc>
        <w:tc>
          <w:tcPr>
            <w:tcW w:type="dxa" w:w="126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PASS</w:t>
            </w:r>
          </w:p>
        </w:tc>
      </w:tr>
      <w:tr>
        <w:trPr>
          <w:cantSplit/>
        </w:trPr>
        <w:tc>
          <w:tcPr>
            <w:tcW w:type="dxa" w:w="10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UT-RTY-003</w:t>
            </w:r>
          </w:p>
        </w:tc>
        <w:tc>
          <w:tcPr>
            <w:tcW w:type="dxa" w:w="28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REQUOTE + retry 2</w:t>
            </w:r>
          </w:p>
        </w:tc>
        <w:tc>
          <w:tcPr>
            <w:tcW w:type="dxa" w:w="37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schedule retry @ 900ms ± 20ms</w:t>
            </w:r>
          </w:p>
        </w:tc>
        <w:tc>
          <w:tcPr>
            <w:tcW w:type="dxa" w:w="126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PASS</w:t>
            </w:r>
          </w:p>
        </w:tc>
      </w:tr>
      <w:tr>
        <w:trPr>
          <w:cantSplit/>
        </w:trPr>
        <w:tc>
          <w:tcPr>
            <w:tcW w:type="dxa" w:w="10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UT-RTY-004</w:t>
            </w:r>
          </w:p>
        </w:tc>
        <w:tc>
          <w:tcPr>
            <w:tcW w:type="dxa" w:w="28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REQUOTE + retry 3</w:t>
            </w:r>
          </w:p>
        </w:tc>
        <w:tc>
          <w:tcPr>
            <w:tcW w:type="dxa" w:w="37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ABORT + P2 alert</w:t>
            </w:r>
          </w:p>
        </w:tc>
        <w:tc>
          <w:tcPr>
            <w:tcW w:type="dxa" w:w="126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PASS</w:t>
            </w:r>
          </w:p>
        </w:tc>
      </w:tr>
      <w:tr>
        <w:trPr>
          <w:cantSplit/>
        </w:trPr>
        <w:tc>
          <w:tcPr>
            <w:tcW w:type="dxa" w:w="10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UT-RTY-005</w:t>
            </w:r>
          </w:p>
        </w:tc>
        <w:tc>
          <w:tcPr>
            <w:tcW w:type="dxa" w:w="28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NO_MONEY + retry 0</w:t>
            </w:r>
          </w:p>
        </w:tc>
        <w:tc>
          <w:tcPr>
            <w:tcW w:type="dxa" w:w="37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reduce size 50% + retry @ 100ms</w:t>
            </w:r>
          </w:p>
        </w:tc>
        <w:tc>
          <w:tcPr>
            <w:tcW w:type="dxa" w:w="126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PASS</w:t>
            </w:r>
          </w:p>
        </w:tc>
      </w:tr>
      <w:tr>
        <w:trPr>
          <w:cantSplit/>
        </w:trPr>
        <w:tc>
          <w:tcPr>
            <w:tcW w:type="dxa" w:w="10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UT-RTY-006</w:t>
            </w:r>
          </w:p>
        </w:tc>
        <w:tc>
          <w:tcPr>
            <w:tcW w:type="dxa" w:w="28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MARKET_CLOSED + retry 0</w:t>
            </w:r>
          </w:p>
        </w:tc>
        <w:tc>
          <w:tcPr>
            <w:tcW w:type="dxa" w:w="37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ABORT (FATAL, no retry)</w:t>
            </w:r>
          </w:p>
        </w:tc>
        <w:tc>
          <w:tcPr>
            <w:tcW w:type="dxa" w:w="126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PASS</w:t>
            </w:r>
          </w:p>
        </w:tc>
      </w:tr>
      <w:tr>
        <w:trPr>
          <w:cantSplit/>
        </w:trPr>
        <w:tc>
          <w:tcPr>
            <w:tcW w:type="dxa" w:w="10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UT-RTY-007</w:t>
            </w:r>
          </w:p>
        </w:tc>
        <w:tc>
          <w:tcPr>
            <w:tcW w:type="dxa" w:w="28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BROKER_BLOCKED + retry 0</w:t>
            </w:r>
          </w:p>
        </w:tc>
        <w:tc>
          <w:tcPr>
            <w:tcW w:type="dxa" w:w="37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ABORT + kill switch (FATAL)</w:t>
            </w:r>
          </w:p>
        </w:tc>
        <w:tc>
          <w:tcPr>
            <w:tcW w:type="dxa" w:w="126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PASS</w:t>
            </w:r>
          </w:p>
        </w:tc>
      </w:tr>
      <w:tr>
        <w:trPr>
          <w:cantSplit/>
        </w:trPr>
        <w:tc>
          <w:tcPr>
            <w:tcW w:type="dxa" w:w="10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UT-RTY-008</w:t>
            </w:r>
          </w:p>
        </w:tc>
        <w:tc>
          <w:tcPr>
            <w:tcW w:type="dxa" w:w="28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Jitter distribution</w:t>
            </w:r>
          </w:p>
        </w:tc>
        <w:tc>
          <w:tcPr>
            <w:tcW w:type="dxa" w:w="37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1000 samples uniform in [80, 120] ms</w:t>
            </w:r>
          </w:p>
        </w:tc>
        <w:tc>
          <w:tcPr>
            <w:tcW w:type="dxa" w:w="126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PASS</w:t>
            </w:r>
          </w:p>
        </w:tc>
      </w:tr>
      <w:tr>
        <w:trPr>
          <w:cantSplit/>
        </w:trPr>
        <w:tc>
          <w:tcPr>
            <w:tcW w:type="dxa" w:w="10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UT-RTY-009</w:t>
            </w:r>
          </w:p>
        </w:tc>
        <w:tc>
          <w:tcPr>
            <w:tcW w:type="dxa" w:w="28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Budget reset on success</w:t>
            </w:r>
          </w:p>
        </w:tc>
        <w:tc>
          <w:tcPr>
            <w:tcW w:type="dxa" w:w="37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retry counter resets to 0 after FILLED</w:t>
            </w:r>
          </w:p>
        </w:tc>
        <w:tc>
          <w:tcPr>
            <w:tcW w:type="dxa" w:w="126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PASS</w:t>
            </w:r>
          </w:p>
        </w:tc>
      </w:tr>
      <w:tr>
        <w:trPr>
          <w:cantSplit/>
        </w:trPr>
        <w:tc>
          <w:tcPr>
            <w:tcW w:type="dxa" w:w="10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UT-RTY-010</w:t>
            </w:r>
          </w:p>
        </w:tc>
        <w:tc>
          <w:tcPr>
            <w:tcW w:type="dxa" w:w="28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New client_id per retry</w:t>
            </w:r>
          </w:p>
        </w:tc>
        <w:tc>
          <w:tcPr>
            <w:tcW w:type="dxa" w:w="37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each retry gets unique client_id</w:t>
            </w:r>
          </w:p>
        </w:tc>
        <w:tc>
          <w:tcPr>
            <w:tcW w:type="dxa" w:w="126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PASS</w:t>
            </w:r>
          </w:p>
        </w:tc>
      </w:tr>
    </w:tbl>
    <w:p>
      <w:pPr>
        <w:spacing w:after="200"/>
      </w:pPr>
    </w:p>
    <w:p>
      <w:pPr>
        <w:pStyle w:val="Heading2"/>
        <w:spacing w:after="160" w:before="320"/>
      </w:pPr>
      <w:bookmarkStart w:id="100085" w:name="_Toc100085"/>
      <w:r>
        <w:rPr>
          <w:rFonts w:ascii="Liberation Serif" w:cs="Liberation Serif" w:eastAsia="Liberation Serif" w:hAnsi="Liberation Serif"/>
          <w:b/>
          <w:bCs/>
          <w:color w:val="14213D"/>
          <w:sz w:val="28"/>
          <w:szCs w:val="28"/>
        </w:rPr>
        <w:t xml:space="preserve">Performance Test Cases</w:t>
      </w:r>
      <w:bookmarkEnd w:id="100085"/>
    </w:p>
    <w:p>
      <w:pPr>
        <w:spacing w:after="160" w:line="312"/>
        <w:jc w:val="both"/>
      </w:pPr>
      <w:r>
        <w:rPr>
          <w:rFonts w:ascii="Liberation Serif" w:cs="Liberation Serif" w:eastAsia="Liberation Serif" w:hAnsi="Liberation Serif"/>
          <w:color w:val="14213D"/>
          <w:sz w:val="22"/>
          <w:szCs w:val="22"/>
        </w:rPr>
        <w:t xml:space="preserve">Performance tests enforce the latency budget and throughput targets. They run nightly and before every release. A performance regression (e.g., p99 latency increases by 20%) blocks the release until investigated and resolved.</w:t>
      </w:r>
    </w:p>
    <w:tbl>
      <w:tblPr>
        <w:tblW w:type="dxa" w:w="9000"/>
        <w:tblBorders>
          <w:top w:val="single" w:color="14213D" w:sz="6"/>
          <w:left w:val="single" w:color="CBD5E1" w:sz="4"/>
          <w:bottom w:val="single" w:color="14213D" w:sz="6"/>
          <w:right w:val="single" w:color="CBD5E1" w:sz="4"/>
          <w:insideH w:val="single" w:color="CBD5E1" w:sz="4"/>
          <w:insideV w:val="single" w:color="CBD5E1" w:sz="4"/>
        </w:tblBorders>
      </w:tblPr>
      <w:tblGrid>
        <w:gridCol w:w="100"/>
        <w:gridCol w:w="100"/>
        <w:gridCol w:w="100"/>
        <w:gridCol w:w="100"/>
      </w:tblGrid>
      <w:tr>
        <w:trPr>
          <w:cantSplit/>
          <w:tblHeader/>
        </w:trPr>
        <w:tc>
          <w:tcPr>
            <w:tcW w:type="dxa" w:w="90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Test ID</w:t>
            </w:r>
          </w:p>
        </w:tc>
        <w:tc>
          <w:tcPr>
            <w:tcW w:type="dxa" w:w="324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Scenario</w:t>
            </w:r>
          </w:p>
        </w:tc>
        <w:tc>
          <w:tcPr>
            <w:tcW w:type="dxa" w:w="360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Target</w:t>
            </w:r>
          </w:p>
        </w:tc>
        <w:tc>
          <w:tcPr>
            <w:tcW w:type="dxa" w:w="126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Gate</w:t>
            </w:r>
          </w:p>
        </w:tc>
      </w:tr>
      <w:tr>
        <w:trPr>
          <w:cantSplit/>
        </w:trPr>
        <w:tc>
          <w:tcPr>
            <w:tcW w:type="dxa" w:w="9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PT-001</w:t>
            </w:r>
          </w:p>
        </w:tc>
        <w:tc>
          <w:tcPr>
            <w:tcW w:type="dxa" w:w="324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Tick ingestion sustained 1h</w:t>
            </w:r>
          </w:p>
        </w:tc>
        <w:tc>
          <w:tcPr>
            <w:tcW w:type="dxa" w:w="36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50,000 ticks/s · 0 drops</w:t>
            </w:r>
          </w:p>
        </w:tc>
        <w:tc>
          <w:tcPr>
            <w:tcW w:type="dxa" w:w="126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Must meet</w:t>
            </w:r>
          </w:p>
        </w:tc>
      </w:tr>
      <w:tr>
        <w:trPr>
          <w:cantSplit/>
        </w:trPr>
        <w:tc>
          <w:tcPr>
            <w:tcW w:type="dxa" w:w="9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PT-002</w:t>
            </w:r>
          </w:p>
        </w:tc>
        <w:tc>
          <w:tcPr>
            <w:tcW w:type="dxa" w:w="324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Order submission burst 30s</w:t>
            </w:r>
          </w:p>
        </w:tc>
        <w:tc>
          <w:tcPr>
            <w:tcW w:type="dxa" w:w="36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500 orders/s · 0 rejects (except retryable)</w:t>
            </w:r>
          </w:p>
        </w:tc>
        <w:tc>
          <w:tcPr>
            <w:tcW w:type="dxa" w:w="126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Must meet</w:t>
            </w:r>
          </w:p>
        </w:tc>
      </w:tr>
      <w:tr>
        <w:trPr>
          <w:cantSplit/>
        </w:trPr>
        <w:tc>
          <w:tcPr>
            <w:tcW w:type="dxa" w:w="9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PT-003</w:t>
            </w:r>
          </w:p>
        </w:tc>
        <w:tc>
          <w:tcPr>
            <w:tcW w:type="dxa" w:w="324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Signal-to-dispatch p99</w:t>
            </w:r>
          </w:p>
        </w:tc>
        <w:tc>
          <w:tcPr>
            <w:tcW w:type="dxa" w:w="36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&lt; 0.50 ms (excludes MT5 send)</w:t>
            </w:r>
          </w:p>
        </w:tc>
        <w:tc>
          <w:tcPr>
            <w:tcW w:type="dxa" w:w="126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Must meet</w:t>
            </w:r>
          </w:p>
        </w:tc>
      </w:tr>
      <w:tr>
        <w:trPr>
          <w:cantSplit/>
        </w:trPr>
        <w:tc>
          <w:tcPr>
            <w:tcW w:type="dxa" w:w="9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PT-004</w:t>
            </w:r>
          </w:p>
        </w:tc>
        <w:tc>
          <w:tcPr>
            <w:tcW w:type="dxa" w:w="324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Signal-to-fill p99 (internal)</w:t>
            </w:r>
          </w:p>
        </w:tc>
        <w:tc>
          <w:tcPr>
            <w:tcW w:type="dxa" w:w="36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&lt; 2.00 ms (excludes broker RTT)</w:t>
            </w:r>
          </w:p>
        </w:tc>
        <w:tc>
          <w:tcPr>
            <w:tcW w:type="dxa" w:w="126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Must meet</w:t>
            </w:r>
          </w:p>
        </w:tc>
      </w:tr>
      <w:tr>
        <w:trPr>
          <w:cantSplit/>
        </w:trPr>
        <w:tc>
          <w:tcPr>
            <w:tcW w:type="dxa" w:w="9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PT-005</w:t>
            </w:r>
          </w:p>
        </w:tc>
        <w:tc>
          <w:tcPr>
            <w:tcW w:type="dxa" w:w="324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Signal-to-fill p99 (end-to-end)</w:t>
            </w:r>
          </w:p>
        </w:tc>
        <w:tc>
          <w:tcPr>
            <w:tcW w:type="dxa" w:w="36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&lt; 6.00 ms (includes broker RTT)</w:t>
            </w:r>
          </w:p>
        </w:tc>
        <w:tc>
          <w:tcPr>
            <w:tcW w:type="dxa" w:w="126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Must meet</w:t>
            </w:r>
          </w:p>
        </w:tc>
      </w:tr>
      <w:tr>
        <w:trPr>
          <w:cantSplit/>
        </w:trPr>
        <w:tc>
          <w:tcPr>
            <w:tcW w:type="dxa" w:w="9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PT-006</w:t>
            </w:r>
          </w:p>
        </w:tc>
        <w:tc>
          <w:tcPr>
            <w:tcW w:type="dxa" w:w="324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RAM resident set after 1h load</w:t>
            </w:r>
          </w:p>
        </w:tc>
        <w:tc>
          <w:tcPr>
            <w:tcW w:type="dxa" w:w="36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&lt; 256 MB</w:t>
            </w:r>
          </w:p>
        </w:tc>
        <w:tc>
          <w:tcPr>
            <w:tcW w:type="dxa" w:w="126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Must meet</w:t>
            </w:r>
          </w:p>
        </w:tc>
      </w:tr>
      <w:tr>
        <w:trPr>
          <w:cantSplit/>
        </w:trPr>
        <w:tc>
          <w:tcPr>
            <w:tcW w:type="dxa" w:w="9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PT-007</w:t>
            </w:r>
          </w:p>
        </w:tc>
        <w:tc>
          <w:tcPr>
            <w:tcW w:type="dxa" w:w="324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Heap allocations per order (hot path)</w:t>
            </w:r>
          </w:p>
        </w:tc>
        <w:tc>
          <w:tcPr>
            <w:tcW w:type="dxa" w:w="36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 (verified by LD_PRELOAD allocator)</w:t>
            </w:r>
          </w:p>
        </w:tc>
        <w:tc>
          <w:tcPr>
            <w:tcW w:type="dxa" w:w="126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Must meet</w:t>
            </w:r>
          </w:p>
        </w:tc>
      </w:tr>
      <w:tr>
        <w:trPr>
          <w:cantSplit/>
        </w:trPr>
        <w:tc>
          <w:tcPr>
            <w:tcW w:type="dxa" w:w="9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PT-008</w:t>
            </w:r>
          </w:p>
        </w:tc>
        <w:tc>
          <w:tcPr>
            <w:tcW w:type="dxa" w:w="324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CPU utilization on CPU 2-3 (hot path)</w:t>
            </w:r>
          </w:p>
        </w:tc>
        <w:tc>
          <w:tcPr>
            <w:tcW w:type="dxa" w:w="36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95-100% (busy-spin expected)</w:t>
            </w:r>
          </w:p>
        </w:tc>
        <w:tc>
          <w:tcPr>
            <w:tcW w:type="dxa" w:w="126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Must meet</w:t>
            </w:r>
          </w:p>
        </w:tc>
      </w:tr>
      <w:tr>
        <w:trPr>
          <w:cantSplit/>
        </w:trPr>
        <w:tc>
          <w:tcPr>
            <w:tcW w:type="dxa" w:w="9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PT-009</w:t>
            </w:r>
          </w:p>
        </w:tc>
        <w:tc>
          <w:tcPr>
            <w:tcW w:type="dxa" w:w="324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Reconciliation cycle under 1000 orders</w:t>
            </w:r>
          </w:p>
        </w:tc>
        <w:tc>
          <w:tcPr>
            <w:tcW w:type="dxa" w:w="36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&lt; 50 ms</w:t>
            </w:r>
          </w:p>
        </w:tc>
        <w:tc>
          <w:tcPr>
            <w:tcW w:type="dxa" w:w="126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Must meet</w:t>
            </w:r>
          </w:p>
        </w:tc>
      </w:tr>
      <w:tr>
        <w:trPr>
          <w:cantSplit/>
        </w:trPr>
        <w:tc>
          <w:tcPr>
            <w:tcW w:type="dxa" w:w="9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PT-010</w:t>
            </w:r>
          </w:p>
        </w:tc>
        <w:tc>
          <w:tcPr>
            <w:tcW w:type="dxa" w:w="324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Restart-to-ready (state load + reconcile)</w:t>
            </w:r>
          </w:p>
        </w:tc>
        <w:tc>
          <w:tcPr>
            <w:tcW w:type="dxa" w:w="36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&lt; 3.0 s</w:t>
            </w:r>
          </w:p>
        </w:tc>
        <w:tc>
          <w:tcPr>
            <w:tcW w:type="dxa" w:w="126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Must meet</w:t>
            </w:r>
          </w:p>
        </w:tc>
      </w:tr>
    </w:tbl>
    <w:p>
      <w:pPr>
        <w:spacing w:after="200"/>
      </w:pPr>
    </w:p>
    <w:p>
      <w:pPr>
        <w:pStyle w:val="Heading2"/>
        <w:spacing w:after="160" w:before="320"/>
      </w:pPr>
      <w:bookmarkStart w:id="100086" w:name="_Toc100086"/>
      <w:r>
        <w:rPr>
          <w:rFonts w:ascii="Liberation Serif" w:cs="Liberation Serif" w:eastAsia="Liberation Serif" w:hAnsi="Liberation Serif"/>
          <w:b/>
          <w:bCs/>
          <w:color w:val="14213D"/>
          <w:sz w:val="28"/>
          <w:szCs w:val="28"/>
        </w:rPr>
        <w:t xml:space="preserve">Chaos Test Cases</w:t>
      </w:r>
      <w:bookmarkEnd w:id="100086"/>
    </w:p>
    <w:p>
      <w:pPr>
        <w:spacing w:after="160" w:line="312"/>
        <w:jc w:val="both"/>
      </w:pPr>
      <w:r>
        <w:rPr>
          <w:rFonts w:ascii="Liberation Serif" w:cs="Liberation Serif" w:eastAsia="Liberation Serif" w:hAnsi="Liberation Serif"/>
          <w:color w:val="14213D"/>
          <w:sz w:val="22"/>
          <w:szCs w:val="22"/>
        </w:rPr>
        <w:t xml:space="preserve">Chaos tests inject realistic failures into a production-like staging environment. They run weekly and after major changes. Each experiment produces a postmortem regardless of outcome; experiments that reveal bugs feed back into unit tests.</w:t>
      </w:r>
    </w:p>
    <w:tbl>
      <w:tblPr>
        <w:tblW w:type="dxa" w:w="9000"/>
        <w:tblBorders>
          <w:top w:val="single" w:color="14213D" w:sz="6"/>
          <w:left w:val="single" w:color="CBD5E1" w:sz="4"/>
          <w:bottom w:val="single" w:color="14213D" w:sz="6"/>
          <w:right w:val="single" w:color="CBD5E1" w:sz="4"/>
          <w:insideH w:val="single" w:color="CBD5E1" w:sz="4"/>
          <w:insideV w:val="single" w:color="CBD5E1" w:sz="4"/>
        </w:tblBorders>
      </w:tblPr>
      <w:tblGrid>
        <w:gridCol w:w="100"/>
        <w:gridCol w:w="100"/>
        <w:gridCol w:w="100"/>
        <w:gridCol w:w="100"/>
      </w:tblGrid>
      <w:tr>
        <w:trPr>
          <w:cantSplit/>
          <w:tblHeader/>
        </w:trPr>
        <w:tc>
          <w:tcPr>
            <w:tcW w:type="dxa" w:w="90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Test ID</w:t>
            </w:r>
          </w:p>
        </w:tc>
        <w:tc>
          <w:tcPr>
            <w:tcW w:type="dxa" w:w="252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Experiment</w:t>
            </w:r>
          </w:p>
        </w:tc>
        <w:tc>
          <w:tcPr>
            <w:tcW w:type="dxa" w:w="324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Expected Behavior</w:t>
            </w:r>
          </w:p>
        </w:tc>
        <w:tc>
          <w:tcPr>
            <w:tcW w:type="dxa" w:w="234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Success Criteria</w:t>
            </w:r>
          </w:p>
        </w:tc>
      </w:tr>
      <w:tr>
        <w:trPr>
          <w:cantSplit/>
        </w:trPr>
        <w:tc>
          <w:tcPr>
            <w:tcW w:type="dxa" w:w="9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CT-001</w:t>
            </w:r>
          </w:p>
        </w:tc>
        <w:tc>
          <w:tcPr>
            <w:tcW w:type="dxa" w:w="25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Broker disconnect mid-flight</w:t>
            </w:r>
          </w:p>
        </w:tc>
        <w:tc>
          <w:tcPr>
            <w:tcW w:type="dxa" w:w="324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Mark SENT orders ERROR · page operator · reconcile on reconnect</w:t>
            </w:r>
          </w:p>
        </w:tc>
        <w:tc>
          <w:tcPr>
            <w:tcW w:type="dxa" w:w="234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 lost orders · RTO &lt; 15s</w:t>
            </w:r>
          </w:p>
        </w:tc>
      </w:tr>
      <w:tr>
        <w:trPr>
          <w:cantSplit/>
        </w:trPr>
        <w:tc>
          <w:tcPr>
            <w:tcW w:type="dxa" w:w="9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CT-002</w:t>
            </w:r>
          </w:p>
        </w:tc>
        <w:tc>
          <w:tcPr>
            <w:tcW w:type="dxa" w:w="25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MT5 terminal freeze (5s)</w:t>
            </w:r>
          </w:p>
        </w:tc>
        <w:tc>
          <w:tcPr>
            <w:tcW w:type="dxa" w:w="324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Submit timeouts · retry budget respected · no orphan orders</w:t>
            </w:r>
          </w:p>
        </w:tc>
        <w:tc>
          <w:tcPr>
            <w:tcW w:type="dxa" w:w="234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All orders terminal within 30s</w:t>
            </w:r>
          </w:p>
        </w:tc>
      </w:tr>
      <w:tr>
        <w:trPr>
          <w:cantSplit/>
        </w:trPr>
        <w:tc>
          <w:tcPr>
            <w:tcW w:type="dxa" w:w="9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CT-003</w:t>
            </w:r>
          </w:p>
        </w:tc>
        <w:tc>
          <w:tcPr>
            <w:tcW w:type="dxa" w:w="25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Partial fill storm (10 consecutive)</w:t>
            </w:r>
          </w:p>
        </w:tc>
        <w:tc>
          <w:tcPr>
            <w:tcW w:type="dxa" w:w="324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Residual tracked · policy applied · EQS reflects correctly</w:t>
            </w:r>
          </w:p>
        </w:tc>
        <w:tc>
          <w:tcPr>
            <w:tcW w:type="dxa" w:w="234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Cumulative qty matches</w:t>
            </w:r>
          </w:p>
        </w:tc>
      </w:tr>
      <w:tr>
        <w:trPr>
          <w:cantSplit/>
        </w:trPr>
        <w:tc>
          <w:tcPr>
            <w:tcW w:type="dxa" w:w="9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CT-004</w:t>
            </w:r>
          </w:p>
        </w:tc>
        <w:tc>
          <w:tcPr>
            <w:tcW w:type="dxa" w:w="25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Rejection storm (100 REQUOTE in 1s)</w:t>
            </w:r>
          </w:p>
        </w:tc>
        <w:tc>
          <w:tcPr>
            <w:tcW w:type="dxa" w:w="324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Retry budget respected · no thundering herd · backoff with jitter</w:t>
            </w:r>
          </w:p>
        </w:tc>
        <w:tc>
          <w:tcPr>
            <w:tcW w:type="dxa" w:w="234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Peak retry rate &lt; 50/s</w:t>
            </w:r>
          </w:p>
        </w:tc>
      </w:tr>
      <w:tr>
        <w:trPr>
          <w:cantSplit/>
        </w:trPr>
        <w:tc>
          <w:tcPr>
            <w:tcW w:type="dxa" w:w="9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CT-005</w:t>
            </w:r>
          </w:p>
        </w:tc>
        <w:tc>
          <w:tcPr>
            <w:tcW w:type="dxa" w:w="25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CPU contention on hot-path cores</w:t>
            </w:r>
          </w:p>
        </w:tc>
        <w:tc>
          <w:tcPr>
            <w:tcW w:type="dxa" w:w="324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Latency p99 increases but no missed fills · alert fires</w:t>
            </w:r>
          </w:p>
        </w:tc>
        <w:tc>
          <w:tcPr>
            <w:tcW w:type="dxa" w:w="234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p99 &lt; 5ms under contention</w:t>
            </w:r>
          </w:p>
        </w:tc>
      </w:tr>
      <w:tr>
        <w:trPr>
          <w:cantSplit/>
        </w:trPr>
        <w:tc>
          <w:tcPr>
            <w:tcW w:type="dxa" w:w="9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CT-006</w:t>
            </w:r>
          </w:p>
        </w:tc>
        <w:tc>
          <w:tcPr>
            <w:tcW w:type="dxa" w:w="25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Network jitter (50ms ± 20ms)</w:t>
            </w:r>
          </w:p>
        </w:tc>
        <w:tc>
          <w:tcPr>
            <w:tcW w:type="dxa" w:w="324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Fill callbacks delayed but processed · no duplicate fills</w:t>
            </w:r>
          </w:p>
        </w:tc>
        <w:tc>
          <w:tcPr>
            <w:tcW w:type="dxa" w:w="234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 duplicate fills</w:t>
            </w:r>
          </w:p>
        </w:tc>
      </w:tr>
      <w:tr>
        <w:trPr>
          <w:cantSplit/>
        </w:trPr>
        <w:tc>
          <w:tcPr>
            <w:tcW w:type="dxa" w:w="9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CT-007</w:t>
            </w:r>
          </w:p>
        </w:tc>
        <w:tc>
          <w:tcPr>
            <w:tcW w:type="dxa" w:w="25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Redis (state cache) unavailable</w:t>
            </w:r>
          </w:p>
        </w:tc>
        <w:tc>
          <w:tcPr>
            <w:tcW w:type="dxa" w:w="324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Fallback to in-memory state · reconcile on reconnect</w:t>
            </w:r>
          </w:p>
        </w:tc>
        <w:tc>
          <w:tcPr>
            <w:tcW w:type="dxa" w:w="234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 lost orders</w:t>
            </w:r>
          </w:p>
        </w:tc>
      </w:tr>
      <w:tr>
        <w:trPr>
          <w:cantSplit/>
        </w:trPr>
        <w:tc>
          <w:tcPr>
            <w:tcW w:type="dxa" w:w="9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CT-008</w:t>
            </w:r>
          </w:p>
        </w:tc>
        <w:tc>
          <w:tcPr>
            <w:tcW w:type="dxa" w:w="25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Audit log disk full</w:t>
            </w:r>
          </w:p>
        </w:tc>
        <w:tc>
          <w:tcPr>
            <w:tcW w:type="dxa" w:w="324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Buffer in memory · alert · continue trading (audit buffered)</w:t>
            </w:r>
          </w:p>
        </w:tc>
        <w:tc>
          <w:tcPr>
            <w:tcW w:type="dxa" w:w="234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No trading impact</w:t>
            </w:r>
          </w:p>
        </w:tc>
      </w:tr>
      <w:tr>
        <w:trPr>
          <w:cantSplit/>
        </w:trPr>
        <w:tc>
          <w:tcPr>
            <w:tcW w:type="dxa" w:w="9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CT-009</w:t>
            </w:r>
          </w:p>
        </w:tc>
        <w:tc>
          <w:tcPr>
            <w:tcW w:type="dxa" w:w="25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Kill switch mid-order</w:t>
            </w:r>
          </w:p>
        </w:tc>
        <w:tc>
          <w:tcPr>
            <w:tcW w:type="dxa" w:w="324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Pending orders canceled · filled portion retained · halt</w:t>
            </w:r>
          </w:p>
        </w:tc>
        <w:tc>
          <w:tcPr>
            <w:tcW w:type="dxa" w:w="234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&lt; 500ms end-to-end</w:t>
            </w:r>
          </w:p>
        </w:tc>
      </w:tr>
      <w:tr>
        <w:trPr>
          <w:cantSplit/>
        </w:trPr>
        <w:tc>
          <w:tcPr>
            <w:tcW w:type="dxa" w:w="9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CT-010</w:t>
            </w:r>
          </w:p>
        </w:tc>
        <w:tc>
          <w:tcPr>
            <w:tcW w:type="dxa" w:w="25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Process crash mid-fill</w:t>
            </w:r>
          </w:p>
        </w:tc>
        <w:tc>
          <w:tcPr>
            <w:tcW w:type="dxa" w:w="324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Restart · load state from Redis · reconcile · resume</w:t>
            </w:r>
          </w:p>
        </w:tc>
        <w:tc>
          <w:tcPr>
            <w:tcW w:type="dxa" w:w="234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 lost fills</w:t>
            </w:r>
          </w:p>
        </w:tc>
      </w:tr>
    </w:tbl>
    <w:p>
      <w:pPr>
        <w:spacing w:after="200"/>
      </w:pPr>
    </w:p>
    <w:p>
      <w:pPr>
        <w:pStyle w:val="Heading2"/>
        <w:spacing w:after="160" w:before="320"/>
      </w:pPr>
      <w:bookmarkStart w:id="100087" w:name="_Toc100087"/>
      <w:r>
        <w:rPr>
          <w:rFonts w:ascii="Liberation Serif" w:cs="Liberation Serif" w:eastAsia="Liberation Serif" w:hAnsi="Liberation Serif"/>
          <w:b/>
          <w:bCs/>
          <w:color w:val="14213D"/>
          <w:sz w:val="28"/>
          <w:szCs w:val="28"/>
        </w:rPr>
        <w:t xml:space="preserve">Test Coverage Summary</w:t>
      </w:r>
      <w:bookmarkEnd w:id="100087"/>
    </w:p>
    <w:tbl>
      <w:tblPr>
        <w:tblW w:type="dxa" w:w="9000"/>
        <w:tblBorders>
          <w:top w:val="single" w:color="14213D" w:sz="6"/>
          <w:left w:val="single" w:color="CBD5E1" w:sz="4"/>
          <w:bottom w:val="single" w:color="14213D" w:sz="6"/>
          <w:right w:val="single" w:color="CBD5E1" w:sz="4"/>
          <w:insideH w:val="single" w:color="CBD5E1" w:sz="4"/>
          <w:insideV w:val="single" w:color="CBD5E1" w:sz="4"/>
        </w:tblBorders>
      </w:tblPr>
      <w:tblGrid>
        <w:gridCol w:w="100"/>
        <w:gridCol w:w="100"/>
        <w:gridCol w:w="100"/>
        <w:gridCol w:w="100"/>
        <w:gridCol w:w="100"/>
      </w:tblGrid>
      <w:tr>
        <w:trPr>
          <w:cantSplit/>
          <w:tblHeader/>
        </w:trPr>
        <w:tc>
          <w:tcPr>
            <w:tcW w:type="dxa" w:w="252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Test Layer</w:t>
            </w:r>
          </w:p>
        </w:tc>
        <w:tc>
          <w:tcPr>
            <w:tcW w:type="dxa" w:w="90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Count</w:t>
            </w:r>
          </w:p>
        </w:tc>
        <w:tc>
          <w:tcPr>
            <w:tcW w:type="dxa" w:w="288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Coverage Target</w:t>
            </w:r>
          </w:p>
        </w:tc>
        <w:tc>
          <w:tcPr>
            <w:tcW w:type="dxa" w:w="180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CI Gate</w:t>
            </w:r>
          </w:p>
        </w:tc>
        <w:tc>
          <w:tcPr>
            <w:tcW w:type="dxa" w:w="180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Cadence</w:t>
            </w:r>
          </w:p>
        </w:tc>
      </w:tr>
      <w:tr>
        <w:trPr>
          <w:cantSplit/>
        </w:trPr>
        <w:tc>
          <w:tcPr>
            <w:tcW w:type="dxa" w:w="25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Unit (per-component logic)</w:t>
            </w:r>
          </w:p>
        </w:tc>
        <w:tc>
          <w:tcPr>
            <w:tcW w:type="dxa" w:w="9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230</w:t>
            </w:r>
          </w:p>
        </w:tc>
        <w:tc>
          <w:tcPr>
            <w:tcW w:type="dxa" w:w="28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85% line · 100% critical paths</w:t>
            </w:r>
          </w:p>
        </w:tc>
        <w:tc>
          <w:tcPr>
            <w:tcW w:type="dxa" w:w="18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 critical findings</w:t>
            </w:r>
          </w:p>
        </w:tc>
        <w:tc>
          <w:tcPr>
            <w:tcW w:type="dxa" w:w="18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Every PR + nightly</w:t>
            </w:r>
          </w:p>
        </w:tc>
      </w:tr>
      <w:tr>
        <w:trPr>
          <w:cantSplit/>
        </w:trPr>
        <w:tc>
          <w:tcPr>
            <w:tcW w:type="dxa" w:w="25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Integration (Pact contracts)</w:t>
            </w:r>
          </w:p>
        </w:tc>
        <w:tc>
          <w:tcPr>
            <w:tcW w:type="dxa" w:w="9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90</w:t>
            </w:r>
          </w:p>
        </w:tc>
        <w:tc>
          <w:tcPr>
            <w:tcW w:type="dxa" w:w="28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100% L1↔L2↔L3 contracts</w:t>
            </w:r>
          </w:p>
        </w:tc>
        <w:tc>
          <w:tcPr>
            <w:tcW w:type="dxa" w:w="18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 contract breaks</w:t>
            </w:r>
          </w:p>
        </w:tc>
        <w:tc>
          <w:tcPr>
            <w:tcW w:type="dxa" w:w="18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Every PR</w:t>
            </w:r>
          </w:p>
        </w:tc>
      </w:tr>
      <w:tr>
        <w:trPr>
          <w:cantSplit/>
        </w:trPr>
        <w:tc>
          <w:tcPr>
            <w:tcW w:type="dxa" w:w="25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Lifecycle (FSM transitions)</w:t>
            </w:r>
          </w:p>
        </w:tc>
        <w:tc>
          <w:tcPr>
            <w:tcW w:type="dxa" w:w="9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70</w:t>
            </w:r>
          </w:p>
        </w:tc>
        <w:tc>
          <w:tcPr>
            <w:tcW w:type="dxa" w:w="28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100% of 14 transitions</w:t>
            </w:r>
          </w:p>
        </w:tc>
        <w:tc>
          <w:tcPr>
            <w:tcW w:type="dxa" w:w="18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All reachable</w:t>
            </w:r>
          </w:p>
        </w:tc>
        <w:tc>
          <w:tcPr>
            <w:tcW w:type="dxa" w:w="18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Every PR</w:t>
            </w:r>
          </w:p>
        </w:tc>
      </w:tr>
      <w:tr>
        <w:trPr>
          <w:cantSplit/>
        </w:trPr>
        <w:tc>
          <w:tcPr>
            <w:tcW w:type="dxa" w:w="25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Performance / Load</w:t>
            </w:r>
          </w:p>
        </w:tc>
        <w:tc>
          <w:tcPr>
            <w:tcW w:type="dxa" w:w="9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30</w:t>
            </w:r>
          </w:p>
        </w:tc>
        <w:tc>
          <w:tcPr>
            <w:tcW w:type="dxa" w:w="28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Latency + throughput + RAM</w:t>
            </w:r>
          </w:p>
        </w:tc>
        <w:tc>
          <w:tcPr>
            <w:tcW w:type="dxa" w:w="18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No budget breach</w:t>
            </w:r>
          </w:p>
        </w:tc>
        <w:tc>
          <w:tcPr>
            <w:tcW w:type="dxa" w:w="18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Nightly + pre-release</w:t>
            </w:r>
          </w:p>
        </w:tc>
      </w:tr>
      <w:tr>
        <w:trPr>
          <w:cantSplit/>
        </w:trPr>
        <w:tc>
          <w:tcPr>
            <w:tcW w:type="dxa" w:w="25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Chaos / Fault injection</w:t>
            </w:r>
          </w:p>
        </w:tc>
        <w:tc>
          <w:tcPr>
            <w:tcW w:type="dxa" w:w="9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18</w:t>
            </w:r>
          </w:p>
        </w:tc>
        <w:tc>
          <w:tcPr>
            <w:tcW w:type="dxa" w:w="28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15 experiments (3 extra)</w:t>
            </w:r>
          </w:p>
        </w:tc>
        <w:tc>
          <w:tcPr>
            <w:tcW w:type="dxa" w:w="18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No P0 incident</w:t>
            </w:r>
          </w:p>
        </w:tc>
        <w:tc>
          <w:tcPr>
            <w:tcW w:type="dxa" w:w="18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Weekly game-day</w:t>
            </w:r>
          </w:p>
        </w:tc>
      </w:tr>
      <w:tr>
        <w:trPr>
          <w:cantSplit/>
        </w:trPr>
        <w:tc>
          <w:tcPr>
            <w:tcW w:type="dxa" w:w="25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Regression (snapshot)</w:t>
            </w:r>
          </w:p>
        </w:tc>
        <w:tc>
          <w:tcPr>
            <w:tcW w:type="dxa" w:w="9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200+</w:t>
            </w:r>
          </w:p>
        </w:tc>
        <w:tc>
          <w:tcPr>
            <w:tcW w:type="dxa" w:w="28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Replay 200+ captured sessions</w:t>
            </w:r>
          </w:p>
        </w:tc>
        <w:tc>
          <w:tcPr>
            <w:tcW w:type="dxa" w:w="18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 5% EQS drift</w:t>
            </w:r>
          </w:p>
        </w:tc>
        <w:tc>
          <w:tcPr>
            <w:tcW w:type="dxa" w:w="18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Nightly</w:t>
            </w:r>
          </w:p>
        </w:tc>
      </w:tr>
      <w:tr>
        <w:trPr>
          <w:cantSplit/>
        </w:trPr>
        <w:tc>
          <w:tcPr>
            <w:tcW w:type="dxa" w:w="252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DR Drill (Z1→Z2 mid-order)</w:t>
            </w:r>
          </w:p>
        </w:tc>
        <w:tc>
          <w:tcPr>
            <w:tcW w:type="dxa" w:w="9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1</w:t>
            </w:r>
          </w:p>
        </w:tc>
        <w:tc>
          <w:tcPr>
            <w:tcW w:type="dxa" w:w="288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0 lost orders · RTO &lt; 15s</w:t>
            </w:r>
          </w:p>
        </w:tc>
        <w:tc>
          <w:tcPr>
            <w:tcW w:type="dxa" w:w="18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Successful recovery</w:t>
            </w:r>
          </w:p>
        </w:tc>
        <w:tc>
          <w:tcPr>
            <w:tcW w:type="dxa" w:w="18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Quarterly</w:t>
            </w:r>
          </w:p>
        </w:tc>
      </w:tr>
      <w:tr>
        <w:trPr>
          <w:cantSplit/>
        </w:trPr>
        <w:tc>
          <w:tcPr>
            <w:tcW w:type="dxa" w:w="252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Total</w:t>
            </w:r>
          </w:p>
        </w:tc>
        <w:tc>
          <w:tcPr>
            <w:tcW w:type="dxa" w:w="9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640+</w:t>
            </w:r>
          </w:p>
        </w:tc>
        <w:tc>
          <w:tcPr>
            <w:tcW w:type="dxa" w:w="288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w:t>
            </w:r>
          </w:p>
        </w:tc>
        <w:tc>
          <w:tcPr>
            <w:tcW w:type="dxa" w:w="18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w:t>
            </w:r>
          </w:p>
        </w:tc>
        <w:tc>
          <w:tcPr>
            <w:tcW w:type="dxa" w:w="18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w:t>
            </w:r>
          </w:p>
        </w:tc>
      </w:tr>
    </w:tbl>
    <w:p>
      <w:pPr>
        <w:spacing w:after="200"/>
      </w:pPr>
    </w:p>
    <w:p>
      <w:pPr>
        <w:pStyle w:val="Heading1"/>
        <w:pageBreakBefore/>
        <w:pBdr>
          <w:bottom w:val="single" w:color="C8102E" w:sz="18" w:space="4"/>
        </w:pBdr>
        <w:spacing w:after="240" w:before="480"/>
      </w:pPr>
      <w:bookmarkStart w:id="100088" w:name="_Toc100088"/>
      <w:r>
        <w:rPr>
          <w:rFonts w:ascii="Liberation Serif" w:cs="Liberation Serif" w:eastAsia="Liberation Serif" w:hAnsi="Liberation Serif"/>
          <w:b/>
          <w:bCs/>
          <w:color w:val="14213D"/>
          <w:sz w:val="40"/>
          <w:szCs w:val="40"/>
        </w:rPr>
        <w:t xml:space="preserve">Appendix A — Order State Machine Reference</w:t>
      </w:r>
      <w:bookmarkEnd w:id="100088"/>
    </w:p>
    <w:p>
      <w:pPr>
        <w:spacing w:after="160" w:line="312"/>
        <w:jc w:val="both"/>
      </w:pPr>
      <w:r>
        <w:rPr>
          <w:rFonts w:ascii="Liberation Serif" w:cs="Liberation Serif" w:eastAsia="Liberation Serif" w:hAnsi="Liberation Serif"/>
          <w:color w:val="14213D"/>
          <w:sz w:val="22"/>
          <w:szCs w:val="22"/>
        </w:rPr>
        <w:t xml:space="preserve">This appendix provides a complete reference for the order state machine, including all states, transitions, and the rules governing transitions. It is intended as a quick lookup for engineers debugging order state issues.</w:t>
      </w:r>
    </w:p>
    <w:p>
      <w:pPr>
        <w:pStyle w:val="Heading2"/>
        <w:spacing w:after="160" w:before="320"/>
      </w:pPr>
      <w:bookmarkStart w:id="100089" w:name="_Toc100089"/>
      <w:r>
        <w:rPr>
          <w:rFonts w:ascii="Liberation Serif" w:cs="Liberation Serif" w:eastAsia="Liberation Serif" w:hAnsi="Liberation Serif"/>
          <w:b/>
          <w:bCs/>
          <w:color w:val="14213D"/>
          <w:sz w:val="28"/>
          <w:szCs w:val="28"/>
        </w:rPr>
        <w:t xml:space="preserve">A.1 State Reference</w:t>
      </w:r>
      <w:bookmarkEnd w:id="100089"/>
    </w:p>
    <w:tbl>
      <w:tblPr>
        <w:tblW w:type="dxa" w:w="9000"/>
        <w:tblBorders>
          <w:top w:val="single" w:color="14213D" w:sz="6"/>
          <w:left w:val="single" w:color="CBD5E1" w:sz="4"/>
          <w:bottom w:val="single" w:color="14213D" w:sz="6"/>
          <w:right w:val="single" w:color="CBD5E1" w:sz="4"/>
          <w:insideH w:val="single" w:color="CBD5E1" w:sz="4"/>
          <w:insideV w:val="single" w:color="CBD5E1" w:sz="4"/>
        </w:tblBorders>
      </w:tblPr>
      <w:tblGrid>
        <w:gridCol w:w="100"/>
        <w:gridCol w:w="100"/>
        <w:gridCol w:w="100"/>
        <w:gridCol w:w="100"/>
      </w:tblGrid>
      <w:tr>
        <w:trPr>
          <w:cantSplit/>
          <w:tblHeader/>
        </w:trPr>
        <w:tc>
          <w:tcPr>
            <w:tcW w:type="dxa" w:w="126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State</w:t>
            </w:r>
          </w:p>
        </w:tc>
        <w:tc>
          <w:tcPr>
            <w:tcW w:type="dxa" w:w="180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Type</w:t>
            </w:r>
          </w:p>
        </w:tc>
        <w:tc>
          <w:tcPr>
            <w:tcW w:type="dxa" w:w="360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Description</w:t>
            </w:r>
          </w:p>
        </w:tc>
        <w:tc>
          <w:tcPr>
            <w:tcW w:type="dxa" w:w="2340"/>
            <w:shd w:fill="14213D" w:color="auto" w:val="clear"/>
            <w:tcMar>
              <w:top w:type="dxa" w:w="80"/>
              <w:left w:type="dxa" w:w="100"/>
              <w:bottom w:type="dxa" w:w="80"/>
              <w:right w:type="dxa" w:w="100"/>
            </w:tcMar>
            <w:vAlign w:val="center"/>
          </w:tcPr>
          <w:p>
            <w:pPr>
              <w:jc w:val="left"/>
            </w:pPr>
            <w:r>
              <w:rPr>
                <w:rFonts w:ascii="Liberation Serif" w:cs="Liberation Serif" w:eastAsia="Liberation Serif" w:hAnsi="Liberation Serif"/>
                <w:b/>
                <w:bCs/>
                <w:color w:val="FFFFFF"/>
                <w:sz w:val="20"/>
                <w:szCs w:val="20"/>
              </w:rPr>
              <w:t xml:space="preserve">Audit Fields</w:t>
            </w:r>
          </w:p>
        </w:tc>
      </w:tr>
      <w:tr>
        <w:trPr>
          <w:cantSplit/>
        </w:trPr>
        <w:tc>
          <w:tcPr>
            <w:tcW w:type="dxa" w:w="126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NEW</w:t>
            </w:r>
          </w:p>
        </w:tc>
        <w:tc>
          <w:tcPr>
            <w:tcW w:type="dxa" w:w="18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initial</w:t>
            </w:r>
          </w:p>
        </w:tc>
        <w:tc>
          <w:tcPr>
            <w:tcW w:type="dxa" w:w="36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Signal received, awaiting risk validation</w:t>
            </w:r>
          </w:p>
        </w:tc>
        <w:tc>
          <w:tcPr>
            <w:tcW w:type="dxa" w:w="234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client_id, signal_id, received_at</w:t>
            </w:r>
          </w:p>
        </w:tc>
      </w:tr>
      <w:tr>
        <w:trPr>
          <w:cantSplit/>
        </w:trPr>
        <w:tc>
          <w:tcPr>
            <w:tcW w:type="dxa" w:w="126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VALIDATED</w:t>
            </w:r>
          </w:p>
        </w:tc>
        <w:tc>
          <w:tcPr>
            <w:tcW w:type="dxa" w:w="18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intermediate</w:t>
            </w:r>
          </w:p>
        </w:tc>
        <w:tc>
          <w:tcPr>
            <w:tcW w:type="dxa" w:w="36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Risk approved, ready for dispatch</w:t>
            </w:r>
          </w:p>
        </w:tc>
        <w:tc>
          <w:tcPr>
            <w:tcW w:type="dxa" w:w="234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risk_decision, validated_at, order_params</w:t>
            </w:r>
          </w:p>
        </w:tc>
      </w:tr>
      <w:tr>
        <w:trPr>
          <w:cantSplit/>
        </w:trPr>
        <w:tc>
          <w:tcPr>
            <w:tcW w:type="dxa" w:w="126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SENT</w:t>
            </w:r>
          </w:p>
        </w:tc>
        <w:tc>
          <w:tcPr>
            <w:tcW w:type="dxa" w:w="18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intermediate</w:t>
            </w:r>
          </w:p>
        </w:tc>
        <w:tc>
          <w:tcPr>
            <w:tcW w:type="dxa" w:w="36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Submitted to broker, awaiting response</w:t>
            </w:r>
          </w:p>
        </w:tc>
        <w:tc>
          <w:tcPr>
            <w:tcW w:type="dxa" w:w="234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broker_ticket, submitted_at, submit_timeout</w:t>
            </w:r>
          </w:p>
        </w:tc>
      </w:tr>
      <w:tr>
        <w:trPr>
          <w:cantSplit/>
        </w:trPr>
        <w:tc>
          <w:tcPr>
            <w:tcW w:type="dxa" w:w="126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PARTIAL</w:t>
            </w:r>
          </w:p>
        </w:tc>
        <w:tc>
          <w:tcPr>
            <w:tcW w:type="dxa" w:w="18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intermediate</w:t>
            </w:r>
          </w:p>
        </w:tc>
        <w:tc>
          <w:tcPr>
            <w:tcW w:type="dxa" w:w="36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Partially filled, residual tracked</w:t>
            </w:r>
          </w:p>
        </w:tc>
        <w:tc>
          <w:tcPr>
            <w:tcW w:type="dxa" w:w="234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filled_qty, residual_qty, last_fill_id</w:t>
            </w:r>
          </w:p>
        </w:tc>
      </w:tr>
      <w:tr>
        <w:trPr>
          <w:cantSplit/>
        </w:trPr>
        <w:tc>
          <w:tcPr>
            <w:tcW w:type="dxa" w:w="126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FILLED</w:t>
            </w:r>
          </w:p>
        </w:tc>
        <w:tc>
          <w:tcPr>
            <w:tcW w:type="dxa" w:w="18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terminal (success)</w:t>
            </w:r>
          </w:p>
        </w:tc>
        <w:tc>
          <w:tcPr>
            <w:tcW w:type="dxa" w:w="36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Fully filled</w:t>
            </w:r>
          </w:p>
        </w:tc>
        <w:tc>
          <w:tcPr>
            <w:tcW w:type="dxa" w:w="234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fill_id, fill_price, fill_qty, filled_at</w:t>
            </w:r>
          </w:p>
        </w:tc>
      </w:tr>
      <w:tr>
        <w:trPr>
          <w:cantSplit/>
        </w:trPr>
        <w:tc>
          <w:tcPr>
            <w:tcW w:type="dxa" w:w="126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CANCELED</w:t>
            </w:r>
          </w:p>
        </w:tc>
        <w:tc>
          <w:tcPr>
            <w:tcW w:type="dxa" w:w="18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terminal (operator)</w:t>
            </w:r>
          </w:p>
        </w:tc>
        <w:tc>
          <w:tcPr>
            <w:tcW w:type="dxa" w:w="36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Canceled by operator</w:t>
            </w:r>
          </w:p>
        </w:tc>
        <w:tc>
          <w:tcPr>
            <w:tcW w:type="dxa" w:w="234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canceled_at, cancel_reason, partial_fill_qty</w:t>
            </w:r>
          </w:p>
        </w:tc>
      </w:tr>
      <w:tr>
        <w:trPr>
          <w:cantSplit/>
        </w:trPr>
        <w:tc>
          <w:tcPr>
            <w:tcW w:type="dxa" w:w="126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REJECTED</w:t>
            </w:r>
          </w:p>
        </w:tc>
        <w:tc>
          <w:tcPr>
            <w:tcW w:type="dxa" w:w="18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terminal (failure)</w:t>
            </w:r>
          </w:p>
        </w:tc>
        <w:tc>
          <w:tcPr>
            <w:tcW w:type="dxa" w:w="36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Rejected by risk or broker</w:t>
            </w:r>
          </w:p>
        </w:tc>
        <w:tc>
          <w:tcPr>
            <w:tcW w:type="dxa" w:w="234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reject_code, reject_reason, rejected_at</w:t>
            </w:r>
          </w:p>
        </w:tc>
      </w:tr>
      <w:tr>
        <w:trPr>
          <w:cantSplit/>
        </w:trPr>
        <w:tc>
          <w:tcPr>
            <w:tcW w:type="dxa" w:w="126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EXPIRED</w:t>
            </w:r>
          </w:p>
        </w:tc>
        <w:tc>
          <w:tcPr>
            <w:tcW w:type="dxa" w:w="18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terminal (time)</w:t>
            </w:r>
          </w:p>
        </w:tc>
        <w:tc>
          <w:tcPr>
            <w:tcW w:type="dxa" w:w="360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TIF expired</w:t>
            </w:r>
          </w:p>
        </w:tc>
        <w:tc>
          <w:tcPr>
            <w:tcW w:type="dxa" w:w="2340"/>
            <w:shd w:fill="F8FAFC" w:color="auto" w:val="clear"/>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expired_at, tif_type, partial_fill_qty</w:t>
            </w:r>
          </w:p>
        </w:tc>
      </w:tr>
      <w:tr>
        <w:trPr>
          <w:cantSplit/>
        </w:trPr>
        <w:tc>
          <w:tcPr>
            <w:tcW w:type="dxa" w:w="126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ERROR</w:t>
            </w:r>
          </w:p>
        </w:tc>
        <w:tc>
          <w:tcPr>
            <w:tcW w:type="dxa" w:w="18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terminal (system)</w:t>
            </w:r>
          </w:p>
        </w:tc>
        <w:tc>
          <w:tcPr>
            <w:tcW w:type="dxa" w:w="360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System error (timeout, disconnect)</w:t>
            </w:r>
          </w:p>
        </w:tc>
        <w:tc>
          <w:tcPr>
            <w:tcW w:type="dxa" w:w="2340"/>
            <w:tcMar>
              <w:top w:type="dxa" w:w="60"/>
              <w:left w:type="dxa" w:w="100"/>
              <w:bottom w:type="dxa" w:w="60"/>
              <w:right w:type="dxa" w:w="100"/>
            </w:tcMar>
            <w:vAlign w:val="top"/>
          </w:tcPr>
          <w:p>
            <w:pPr>
              <w:spacing w:line="240"/>
              <w:jc w:val="left"/>
            </w:pPr>
            <w:r>
              <w:rPr>
                <w:rFonts w:ascii="Liberation Serif" w:cs="Liberation Serif" w:eastAsia="Liberation Serif" w:hAnsi="Liberation Serif"/>
                <w:color w:val="14213D"/>
                <w:sz w:val="18"/>
                <w:szCs w:val="18"/>
              </w:rPr>
              <w:t xml:space="preserve">error_code, error_context, error_at</w:t>
            </w:r>
          </w:p>
        </w:tc>
      </w:tr>
    </w:tbl>
    <w:p>
      <w:pPr>
        <w:spacing w:after="200"/>
      </w:pPr>
    </w:p>
    <w:p>
      <w:pPr>
        <w:pStyle w:val="Heading2"/>
        <w:spacing w:after="160" w:before="320"/>
      </w:pPr>
      <w:bookmarkStart w:id="100090" w:name="_Toc100090"/>
      <w:r>
        <w:rPr>
          <w:rFonts w:ascii="Liberation Serif" w:cs="Liberation Serif" w:eastAsia="Liberation Serif" w:hAnsi="Liberation Serif"/>
          <w:b/>
          <w:bCs/>
          <w:color w:val="14213D"/>
          <w:sz w:val="28"/>
          <w:szCs w:val="28"/>
        </w:rPr>
        <w:t xml:space="preserve">A.2 Transition Reference</w:t>
      </w:r>
      <w:bookmarkEnd w:id="100090"/>
    </w:p>
    <w:p>
      <w:pPr>
        <w:spacing w:after="160" w:line="312"/>
        <w:jc w:val="both"/>
      </w:pPr>
      <w:r>
        <w:rPr>
          <w:rFonts w:ascii="Liberation Serif" w:cs="Liberation Serif" w:eastAsia="Liberation Serif" w:hAnsi="Liberation Serif"/>
          <w:color w:val="14213D"/>
          <w:sz w:val="22"/>
          <w:szCs w:val="22"/>
        </w:rPr>
        <w:t xml:space="preserve">The 14 transitions are documented in Figure 7.1. Each transition is atomic and audited. The FSM enforces the following rules:</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Every order enters via NEW and exits via exactly one terminal state.</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Terminal states (FILLED, CANCELED, REJECTED, EXPIRED, ERROR) cannot be exited.</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PARTIAL can transition to FILLED, CANCELED, EXPIRED, or back to SENT (via re-route).</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SENT can transition to PARTIAL, FILLED, REJECTED, EXPIRED, CANCELED, or ERROR.</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Every transition is logged with before-state, after-state, trigger, and timestamp.</w:t>
      </w:r>
    </w:p>
    <w:p>
      <w:pPr>
        <w:pStyle w:val="Heading1"/>
        <w:pageBreakBefore/>
        <w:pBdr>
          <w:bottom w:val="single" w:color="C8102E" w:sz="18" w:space="4"/>
        </w:pBdr>
        <w:spacing w:after="240" w:before="480"/>
      </w:pPr>
      <w:bookmarkStart w:id="100091" w:name="_Toc100091"/>
      <w:r>
        <w:rPr>
          <w:rFonts w:ascii="Liberation Serif" w:cs="Liberation Serif" w:eastAsia="Liberation Serif" w:hAnsi="Liberation Serif"/>
          <w:b/>
          <w:bCs/>
          <w:color w:val="14213D"/>
          <w:sz w:val="40"/>
          <w:szCs w:val="40"/>
        </w:rPr>
        <w:t xml:space="preserve">Appendix B — Sample Execution Logs</w:t>
      </w:r>
      <w:bookmarkEnd w:id="100091"/>
    </w:p>
    <w:p>
      <w:pPr>
        <w:spacing w:after="160" w:line="312"/>
        <w:jc w:val="both"/>
      </w:pPr>
      <w:r>
        <w:rPr>
          <w:rFonts w:ascii="Liberation Serif" w:cs="Liberation Serif" w:eastAsia="Liberation Serif" w:hAnsi="Liberation Serif"/>
          <w:color w:val="14213D"/>
          <w:sz w:val="22"/>
          <w:szCs w:val="22"/>
        </w:rPr>
        <w:t xml:space="preserve">This appendix shows the audit log entries for three representative execution scenarios: a successful market order, a partial fill with residual re-route, and a broker rejection with retry. The logs are shown in JSON form for readability; in production, they are serialized as FlatBuffers for performance.</w:t>
      </w:r>
    </w:p>
    <w:p>
      <w:pPr>
        <w:pStyle w:val="Heading2"/>
        <w:spacing w:after="160" w:before="320"/>
      </w:pPr>
      <w:bookmarkStart w:id="100092" w:name="_Toc100092"/>
      <w:r>
        <w:rPr>
          <w:rFonts w:ascii="Liberation Serif" w:cs="Liberation Serif" w:eastAsia="Liberation Serif" w:hAnsi="Liberation Serif"/>
          <w:b/>
          <w:bCs/>
          <w:color w:val="14213D"/>
          <w:sz w:val="28"/>
          <w:szCs w:val="28"/>
        </w:rPr>
        <w:t xml:space="preserve">B.1 Successful Market Order</w:t>
      </w:r>
      <w:bookmarkEnd w:id="100092"/>
    </w:p>
    <w:p>
      <w:pPr>
        <w:pBdr>
          <w:left w:val="single" w:color="C8102E" w:sz="18" w:space="6"/>
        </w:pBdr>
        <w:shd w:fill="F8FAFC" w:color="auto" w:val="clear"/>
        <w:spacing w:after="200" w:before="120" w:line="240"/>
        <w:ind w:left="240" w:right="240"/>
      </w:pPr>
      <w:r>
        <w:rPr>
          <w:rFonts w:ascii="DejaVu Sans Mono" w:cs="DejaVu Sans Mono" w:eastAsia="DejaVu Sans Mono" w:hAnsi="DejaVu Sans Mono"/>
          <w:color w:val="14213D"/>
          <w:sz w:val="18"/>
          <w:szCs w:val="18"/>
        </w:rPr>
        <w:t xml:space="preserve">{
  "events": [
    {
      "ts": 1718798400000000000,
      "type": "SIGNAL_RECEIVED",
      "client_id": "CLT-7F4A92-001",
      "signal_id": "SIG-MOMENTUM-2026-06-19-001",
      "symbol": "XAUUSD",
      "side": "BUY",
      "qty": 0.50,
      "order_type": "MARKET"
    },
    {
      "ts": 1718798400000150000,
      "type": "RISK_APPROVED",
      "client_id": "CLT-7F4A92-001",
      "decision": "APPROVE",
      "checks_passed": ["position", "leverage", "news", "margin", "drawdown"]
    },
    {
      "ts": 1718798400000280000,
      "type": "ORDER_DISPATCHED",
      "client_id": "CLT-7F4A92-001",
      "broker_ticket": 123456789,
      "order_type": "MARKET",
      "qty": 0.50,
      "price_at_dispatch": 1950.45
    },
    {
      "ts": 1718798400005800000,
      "type": "FILL_RECEIVED",
      "client_id": "CLT-7F4A92-001",
      "fill_id": "FILL-001",
      "fill_price": 1950.48,
      "fill_qty": 0.50,
      "commission": 3.41
    },
    {
      "ts": 1718798400005850000,
      "type": "ORDER_FILLED",
      "client_id": "CLT-7F4A92-001",
      "final_state": "FILLED",
      "total_filled_qty": 0.50,
      "vwap": 1950.48
    },
    {
      "ts": 1718798400005900000,
      "type": "EQS_SCORED",
      "client_id": "CLT-7F4A92-001",
      "score": 87.5,
      "factors": {
        "F1_slippage": 92.0,
        "F2_latency": 95.0,
        "F3_spread_capture": 80.0,
        "F4_completeness": 100.0,
        "F5_retry_penalty": 100.0,
        "F6_rejection_penalty": 100.0,
        "F7_market_impact": 60.0
      }
    }
  ],
  "summary": {
    "client_id": "CLT-7F4A92-001",
    "total_latency_ns": 5900000,
    "internal_latency_ns": 900000,
    "broker_rtt_ns": 5000000,
    "eqs_score": 87.5,
    "final_state": "FILLED"
  }
}</w:t>
      </w:r>
    </w:p>
    <w:p>
      <w:pPr>
        <w:pStyle w:val="Heading2"/>
        <w:spacing w:after="160" w:before="320"/>
      </w:pPr>
      <w:bookmarkStart w:id="100093" w:name="_Toc100093"/>
      <w:r>
        <w:rPr>
          <w:rFonts w:ascii="Liberation Serif" w:cs="Liberation Serif" w:eastAsia="Liberation Serif" w:hAnsi="Liberation Serif"/>
          <w:b/>
          <w:bCs/>
          <w:color w:val="14213D"/>
          <w:sz w:val="28"/>
          <w:szCs w:val="28"/>
        </w:rPr>
        <w:t xml:space="preserve">B.2 Partial Fill with Residual Re-Route</w:t>
      </w:r>
      <w:bookmarkEnd w:id="100093"/>
    </w:p>
    <w:p>
      <w:pPr>
        <w:pBdr>
          <w:left w:val="single" w:color="C8102E" w:sz="18" w:space="6"/>
        </w:pBdr>
        <w:shd w:fill="F8FAFC" w:color="auto" w:val="clear"/>
        <w:spacing w:after="200" w:before="120" w:line="240"/>
        <w:ind w:left="240" w:right="240"/>
      </w:pPr>
      <w:r>
        <w:rPr>
          <w:rFonts w:ascii="DejaVu Sans Mono" w:cs="DejaVu Sans Mono" w:eastAsia="DejaVu Sans Mono" w:hAnsi="DejaVu Sans Mono"/>
          <w:color w:val="14213D"/>
          <w:sz w:val="18"/>
          <w:szCs w:val="18"/>
        </w:rPr>
        <w:t xml:space="preserve">{
  "events": [
    { "ts": 0,     "type": "SIGNAL_RECEIVED", "client_id": "CLT-PARTIAL-001", "qty": 1.00, "order_type": "LIMIT", "price": 1950.00 },
    { "ts": 150000, "type": "RISK_APPROVED", "client_id": "CLT-PARTIAL-001" },
    { "ts": 280000, "type": "ORDER_DISPATCHED", "client_id": "CLT-PARTIAL-001", "broker_ticket": 222111333 },
    { "ts": 1800000, "type": "PARTIAL_FILL", "client_id": "CLT-PARTIAL-001", "fill_id": "FILL-P1", "fill_qty": 0.40, "fill_price": 1950.02, "residual": 0.60 },
    { "ts": 1850000, "type": "RESIDUAL_RE_ROUTE", "client_id": "CLT-PARTIAL-001", "residual_client_id": "CLT-PARTIAL-001-R1", "policy": "RE_ROUTE_AS_MARKET" },
    { "ts": 2000000, "type": "ORDER_DISPATCHED", "client_id": "CLT-PARTIAL-001-R1", "qty": 0.60, "order_type": "MARKET" },
    { "ts": 2500000, "type": "FILL_RECEIVED", "client_id": "CLT-PARTIAL-001-R1", "fill_id": "FILL-P2", "fill_price": 1950.50, "fill_qty": 0.60 },
    { "ts": 2510000, "type": "ORDER_FILLED", "client_id": "CLT-PARTIAL-001-R1", "final_state": "FILLED" },
    { "ts": 2520000, "type": "ORDER_FILLED", "client_id": "CLT-PARTIAL-001", "final_state": "FILLED", "total_filled_qty": 1.00, "vwap": 1950.308 }
  ]
}</w:t>
      </w:r>
    </w:p>
    <w:p>
      <w:pPr>
        <w:pStyle w:val="Heading2"/>
        <w:spacing w:after="160" w:before="320"/>
      </w:pPr>
      <w:bookmarkStart w:id="100094" w:name="_Toc100094"/>
      <w:r>
        <w:rPr>
          <w:rFonts w:ascii="Liberation Serif" w:cs="Liberation Serif" w:eastAsia="Liberation Serif" w:hAnsi="Liberation Serif"/>
          <w:b/>
          <w:bCs/>
          <w:color w:val="14213D"/>
          <w:sz w:val="28"/>
          <w:szCs w:val="28"/>
        </w:rPr>
        <w:t xml:space="preserve">B.3 Broker Rejection with Retry</w:t>
      </w:r>
      <w:bookmarkEnd w:id="100094"/>
    </w:p>
    <w:p>
      <w:pPr>
        <w:pBdr>
          <w:left w:val="single" w:color="C8102E" w:sz="18" w:space="6"/>
        </w:pBdr>
        <w:shd w:fill="F8FAFC" w:color="auto" w:val="clear"/>
        <w:spacing w:after="200" w:before="120" w:line="240"/>
        <w:ind w:left="240" w:right="240"/>
      </w:pPr>
      <w:r>
        <w:rPr>
          <w:rFonts w:ascii="DejaVu Sans Mono" w:cs="DejaVu Sans Mono" w:eastAsia="DejaVu Sans Mono" w:hAnsi="DejaVu Sans Mono"/>
          <w:color w:val="14213D"/>
          <w:sz w:val="18"/>
          <w:szCs w:val="18"/>
        </w:rPr>
        <w:t xml:space="preserve">{
  "events": [
    { "ts": 0,       "type": "SIGNAL_RECEIVED", "client_id": "CLT-RETRY-001", "qty": 0.30, "order_type": "MARKET" },
    { "ts": 150000,  "type": "RISK_APPROVED", "client_id": "CLT-RETRY-001" },
    { "ts": 280000,  "type": "ORDER_DISPATCHED", "client_id": "CLT-RETRY-001", "broker_ticket": 333222111 },
    { "ts": 780000,  "type": "BROKER_REJECT", "client_id": "CLT-RETRY-001", "retcode": 10004, "reject_code": "REQUOTE", "category": "RETRYABLE" },
    { "ts": 790000,  "type": "RETRY_SCHEDULED", "original_client_id": "CLT-RETRY-001", "retry_client_id": "CLT-RETRY-001-R1", "retry_num": 1, "delay_ms": 110 },
    { "ts": 900000,  "type": "ORDER_DISPATCHED", "client_id": "CLT-RETRY-001-R1", "broker_ticket": 333222222, "price_at_dispatch": 1950.52 },
    { "ts": 1400000, "type": "FILL_RECEIVED", "client_id": "CLT-RETRY-001-R1", "fill_id": "FILL-RT1", "fill_price": 1950.55, "fill_qty": 0.30 },
    { "ts": 1410000, "type": "ORDER_FILLED", "client_id": "CLT-RETRY-001-R1", "final_state": "FILLED" },
    { "ts": 1410000, "type": "ORDER_REJECTED", "client_id": "CLT-RETRY-001", "final_state": "REJECTED", "reason": "REQUOTE (retried as CLT-RETRY-001-R1)" }
  ],
  "summary": {
    "original_client_id": "CLT-RETRY-001",
    "retries": 1,
    "total_latency_ns": 1410000,
    "final_state": "FILLED (via retry)",
    "eqs_score": 72.5,
    "factors": { "F5_retry_penalty": 50.0, "F1_slippage": 75.0 }
  }
}</w:t>
      </w:r>
    </w:p>
    <w:p>
      <w:pPr>
        <w:spacing w:after="160" w:line="312"/>
        <w:jc w:val="both"/>
      </w:pPr>
      <w:r>
        <w:rPr>
          <w:rFonts w:ascii="Liberation Serif" w:cs="Liberation Serif" w:eastAsia="Liberation Serif" w:hAnsi="Liberation Serif"/>
          <w:color w:val="14213D"/>
          <w:sz w:val="22"/>
          <w:szCs w:val="22"/>
        </w:rPr>
        <w:t xml:space="preserve">These three examples illustrate the IEE's behavior across the most common execution scenarios. The audit log is the authoritative record of every order's lifecycle and is used for post-trade analysis, dispute resolution with the broker, and regulatory compliance reporting.</w:t>
      </w:r>
    </w:p>
    <w:sectPr>
      <w:headerReference w:type="default" r:id="rId8"/>
      <w:footerReference w:type="default" r:id="rId9"/>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color w:val="4A5568"/>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026"/>
      </w:tabs>
      <w:jc w:val="center"/>
    </w:pPr>
    <w:r>
      <w:rPr>
        <w:rFonts w:ascii="Liberation Serif" w:cs="Liberation Serif" w:eastAsia="Liberation Serif" w:hAnsi="Liberation Serif"/>
        <w:i/>
        <w:iCs/>
        <w:color w:val="4A5568"/>
        <w:sz w:val="18"/>
        <w:szCs w:val="18"/>
      </w:rPr>
      <w:t xml:space="preserve">© 2026 TITAN Quant Research  ·  Proprietary &amp; Confidential		</w:t>
    </w:r>
    <w:r>
      <w:rPr>
        <w:rFonts w:ascii="Liberation Serif" w:cs="Liberation Serif" w:eastAsia="Liberation Serif" w:hAnsi="Liberation Serif"/>
        <w:b/>
        <w:bCs/>
        <w:color w:val="14213D"/>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4213D" w:sz="6" w:space="4"/>
      </w:pBdr>
      <w:tabs>
        <w:tab w:val="right" w:pos="9026"/>
      </w:tabs>
      <w:jc w:val="left"/>
    </w:pPr>
    <w:r>
      <w:rPr>
        <w:rFonts w:ascii="Liberation Serif" w:cs="Liberation Serif" w:eastAsia="Liberation Serif" w:hAnsi="Liberation Serif"/>
        <w:i/>
        <w:iCs/>
        <w:color w:val="4A5568"/>
        <w:sz w:val="18"/>
        <w:szCs w:val="18"/>
      </w:rPr>
      <w:t xml:space="preserve">TITAN XAU AI — Institutional Execution Engine</w:t>
    </w:r>
    <w:r>
      <w:rPr>
        <w:sz w:val="18"/>
        <w:szCs w:val="18"/>
      </w:rPr>
      <w:t xml:space="preserve">		</w:t>
    </w:r>
    <w:r>
      <w:rPr>
        <w:rFonts w:ascii="Liberation Serif" w:cs="Liberation Serif" w:eastAsia="Liberation Serif" w:hAnsi="Liberation Serif"/>
        <w:b/>
        <w:bCs/>
        <w:color w:val="C8102E"/>
        <w:sz w:val="18"/>
        <w:szCs w:val="18"/>
      </w:rPr>
      <w:t xml:space="preserve">v1.0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cs="Liberation Serif" w:eastAsia="Liberation Serif" w:hAnsi="Liberation Serif"/>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480"/>
      <w:outlineLvl w:val="0"/>
    </w:pPr>
    <w:rPr>
      <w:rFonts w:ascii="Liberation Serif" w:cs="Liberation Serif" w:eastAsia="Liberation Serif" w:hAnsi="Liberation Serif"/>
      <w:b/>
      <w:bCs/>
      <w:color w:val="14213D"/>
      <w:sz w:val="40"/>
      <w:szCs w:val="40"/>
    </w:rPr>
  </w:style>
  <w:style w:type="paragraph" w:styleId="Heading2">
    <w:name w:val="Heading 2"/>
    <w:basedOn w:val="Normal"/>
    <w:next w:val="Normal"/>
    <w:qFormat/>
    <w:pPr>
      <w:spacing w:after="160" w:before="320"/>
      <w:outlineLvl w:val="1"/>
    </w:pPr>
    <w:rPr>
      <w:rFonts w:ascii="Liberation Serif" w:cs="Liberation Serif" w:eastAsia="Liberation Serif" w:hAnsi="Liberation Serif"/>
      <w:b/>
      <w:bCs/>
      <w:color w:val="14213D"/>
      <w:sz w:val="28"/>
      <w:szCs w:val="28"/>
    </w:rPr>
  </w:style>
  <w:style w:type="paragraph" w:styleId="Heading3">
    <w:name w:val="Heading 3"/>
    <w:basedOn w:val="Normal"/>
    <w:next w:val="Normal"/>
    <w:qFormat/>
    <w:pPr>
      <w:spacing w:after="120" w:before="240"/>
      <w:outlineLvl w:val="2"/>
    </w:pPr>
    <w:rPr>
      <w:rFonts w:ascii="Liberation Serif" w:cs="Liberation Serif" w:eastAsia="Liberation Serif" w:hAnsi="Liberation Serif"/>
      <w:b/>
      <w:bCs/>
      <w:color w:val="C8102E"/>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image" Target="media/cb6e2a6938afdbca1a4a2305f5221994073e223e.png"/><Relationship Id="rId11" Type="http://schemas.openxmlformats.org/officeDocument/2006/relationships/image" Target="media/92541d2a01db173661197ea8180dfb8cf47e27b7.png"/><Relationship Id="rId12" Type="http://schemas.openxmlformats.org/officeDocument/2006/relationships/image" Target="media/139ea9bf97e4f5b29875c6b666a1f4662c60e045.png"/><Relationship Id="rId13" Type="http://schemas.openxmlformats.org/officeDocument/2006/relationships/image" Target="media/1345d001271daf332fe85c7661a708270316a4f6.png"/><Relationship Id="rId14" Type="http://schemas.openxmlformats.org/officeDocument/2006/relationships/image" Target="media/a756fec8b8cb090de33dec48d039e1bcf11a3724.png"/><Relationship Id="rId15" Type="http://schemas.openxmlformats.org/officeDocument/2006/relationships/image" Target="media/6e20a14735958b97d3980749a90a60a1b25bbdbc.png"/><Relationship Id="rId16" Type="http://schemas.openxmlformats.org/officeDocument/2006/relationships/image" Target="media/2427b26874dc9c3a378feb52912e5231fe6c17cd.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TITAN XAU AI — Institutional Execution Engine</dc:title>
  <dc:subject>Execution engine architecture</dc:subject>
  <dc:creator>TITAN Quant Research</dc:creator>
  <dc:description>Institutional Execution Engine architecture for ultra-low-latency order execution</dc:description>
  <cp:lastModifiedBy>Un-named</cp:lastModifiedBy>
  <cp:revision>1</cp:revision>
  <dcterms:created xsi:type="dcterms:W3CDTF">2026-06-18T21:29:05.723Z</dcterms:created>
  <dcterms:modified xsi:type="dcterms:W3CDTF">2026-06-18T21:29:05.723Z</dcterms:modified>
</cp:coreProperties>
</file>

<file path=docProps/custom.xml><?xml version="1.0" encoding="utf-8"?>
<Properties xmlns="http://schemas.openxmlformats.org/officeDocument/2006/custom-properties" xmlns:vt="http://schemas.openxmlformats.org/officeDocument/2006/docPropsVTypes"/>
</file>