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8   ·   R I S K   E N G I N E</w:t>
      </w:r>
    </w:p>
    <w:p>
      <w:pPr>
        <w:spacing w:after="360" w:line="240"/>
      </w:pPr>
      <w:r>
        <w:rPr>
          <w:rFonts w:ascii="Liberation Serif" w:cs="Liberation Serif" w:eastAsia="Liberation Serif" w:hAnsi="Liberation Serif"/>
          <w:b/>
          <w:bCs/>
          <w:color w:val="14213D"/>
          <w:sz w:val="56"/>
          <w:szCs w:val="56"/>
        </w:rPr>
        <w:t xml:space="preserve">Institutional</w:t>
      </w:r>
      <w:r>
        <w:rPr>
          <w:rFonts w:ascii="Liberation Serif" w:cs="Liberation Serif" w:eastAsia="Liberation Serif" w:hAnsi="Liberation Serif"/>
          <w:b/>
          <w:bCs/>
          <w:color w:val="C8102E"/>
          <w:sz w:val="56"/>
          <w:szCs w:val="56"/>
        </w:rPr>
        <w:t xml:space="preserve"> Risk</w:t>
      </w:r>
      <w:r>
        <w:rPr>
          <w:rFonts w:ascii="Liberation Serif" w:cs="Liberation Serif" w:eastAsia="Liberation Serif" w:hAnsi="Liberation Serif"/>
          <w:b/>
          <w:bCs/>
          <w:color w:val="14213D"/>
          <w:sz w:val="56"/>
          <w:szCs w:val="56"/>
        </w:rPr>
        <w:t xml:space="preserve"> Engine</w:t>
      </w:r>
    </w:p>
    <w:p>
      <w:pPr>
        <w:spacing w:after="720" w:line="360"/>
      </w:pPr>
      <w:r>
        <w:rPr>
          <w:rFonts w:ascii="Liberation Serif" w:cs="Liberation Serif" w:eastAsia="Liberation Serif" w:hAnsi="Liberation Serif"/>
          <w:i/>
          <w:iCs/>
          <w:color w:val="4A5568"/>
          <w:sz w:val="24"/>
          <w:szCs w:val="24"/>
        </w:rPr>
        <w:t xml:space="preserve">Multi-layered risk management: 4 modes (Conservative, Balanced, Aggressive, Competition), 6 core controls (Daily/Weekly/Monthly DD, Risk Per Trade, Max Trades, Max Exposure). Kill switch &lt;500ms. Capital preservation: loss streak, equity guardrail, volatility throttle.</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RISK MODE PARAMETERS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98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Parameter</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Conservative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Balanced</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Aggressive</w:t>
            </w:r>
          </w:p>
        </w:tc>
        <w:tc>
          <w:tcPr>
            <w:tcW w:type="dxa" w:w="162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Competition</w:t>
            </w:r>
          </w:p>
        </w:tc>
      </w:tr>
      <w:tr>
        <w:trPr>
          <w:cantSplit/>
        </w:trPr>
        <w:tc>
          <w:tcPr>
            <w:tcW w:type="dxa" w:w="198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per trade</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0.8%</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w:t>
            </w:r>
          </w:p>
        </w:tc>
        <w:tc>
          <w:tcPr>
            <w:tcW w:type="dxa" w:w="162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w:t>
            </w:r>
          </w:p>
        </w:tc>
      </w:tr>
      <w:tr>
        <w:trPr>
          <w:cantSplit/>
        </w:trPr>
        <w:tc>
          <w:tcPr>
            <w:tcW w:type="dxa" w:w="198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Daily DD hard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w:t>
            </w:r>
          </w:p>
        </w:tc>
        <w:tc>
          <w:tcPr>
            <w:tcW w:type="dxa" w:w="162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5.0%</w:t>
            </w:r>
          </w:p>
        </w:tc>
      </w:tr>
      <w:tr>
        <w:trPr>
          <w:cantSplit/>
        </w:trPr>
        <w:tc>
          <w:tcPr>
            <w:tcW w:type="dxa" w:w="198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Max open trades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w:t>
            </w:r>
          </w:p>
        </w:tc>
        <w:tc>
          <w:tcPr>
            <w:tcW w:type="dxa" w:w="162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r>
      <w:tr>
        <w:trPr>
          <w:cantSplit/>
        </w:trPr>
        <w:tc>
          <w:tcPr>
            <w:tcW w:type="dxa" w:w="198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Max exposure</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w:t>
            </w:r>
          </w:p>
        </w:tc>
        <w:tc>
          <w:tcPr>
            <w:tcW w:type="dxa" w:w="162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w:t>
            </w:r>
          </w:p>
        </w:tc>
      </w:tr>
      <w:tr>
        <w:trPr>
          <w:cantSplit/>
        </w:trPr>
        <w:tc>
          <w:tcPr>
            <w:tcW w:type="dxa" w:w="198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Kill switch</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&lt;500ms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&lt;500ms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&lt;500ms</w:t>
            </w:r>
          </w:p>
        </w:tc>
        <w:tc>
          <w:tcPr>
            <w:tcW w:type="dxa" w:w="162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&lt;500ms</w:t>
            </w:r>
          </w:p>
        </w:tc>
      </w:tr>
      <w:tr>
        <w:trPr>
          <w:cantSplit/>
        </w:trPr>
        <w:tc>
          <w:tcPr>
            <w:tcW w:type="dxa" w:w="198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Circuit breakers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3-tier</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3-tier</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3-tier</w:t>
            </w:r>
          </w:p>
        </w:tc>
        <w:tc>
          <w:tcPr>
            <w:tcW w:type="dxa" w:w="162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3-tier</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Architecture Overview</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Layer Responsibilities</w:t>
            </w:r>
            <w:r>
              <w:tab/>
            </w:r>
            <w:r>
              <w:fldChar w:fldCharType="begin"/>
            </w:r>
            <w:r>
              <w:instrText xml:space="preserve"> PAGEREF _Toc100002 \h </w:instrText>
            </w:r>
            <w:r>
              <w:fldChar w:fldCharType="separate"/>
            </w:r>
            <w:r>
              <w:t>4</w:t>
            </w:r>
            <w:r>
              <w:fldChar w:fldCharType="end"/>
            </w:r>
          </w:hyperlink>
        </w:p>
        <w:p>
          <w:pPr>
            <w:pStyle w:val="12"/>
            <w:ind w:left="720"/>
            <w:tabs>
              <w:tab w:val="right" w:leader="dot" w:pos="9026"/>
            </w:tabs>
            <w:spacing w:before="120" w:after="60"/>
          </w:pPr>
          <w:hyperlink w:anchor="_Toc100003" w:history="1">
            <w:r>
              <w:rPr>
                <w:rStyle w:val="Hyperlink"/>
              </w:rPr>
              <w:t>L1 — Risk Mode Selector</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L2 — Pre-Trade Risk Gate (synchronous, &lt;0.3ms)</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L3 — Post-Trade Risk Monitor (async, continuous)</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L4 — Emergency Shutdown (kill switch, &lt;500ms)</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L5 — Capital Preservation (proactive)</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Chapter 3 — 4 Risk Modes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Mode Selection Guidelines</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Chapter 4 — Risk Formulas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Drawdown Calculations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Position Size Formula</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Circuit Breaker Triggers</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Chapter 5 — Emergency Shutdown Logic</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Trigger Sources</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T1: Hard Drawdown (automatic)</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T2: Manual Operator (2-person rule)</w:t>
            </w:r>
            <w:r>
              <w:tab/>
            </w:r>
            <w:r>
              <w:fldChar w:fldCharType="begin"/>
            </w:r>
            <w:r>
              <w:instrText xml:space="preserve"> PAGEREF _Toc100017 \h </w:instrText>
            </w:r>
            <w:r>
              <w:fldChar w:fldCharType="separate"/>
            </w:r>
            <w:r>
              <w:t>9</w:t>
            </w:r>
            <w:r>
              <w:fldChar w:fldCharType="end"/>
            </w:r>
          </w:hyperlink>
        </w:p>
        <w:p>
          <w:pPr>
            <w:pStyle w:val="12"/>
            <w:ind w:left="720"/>
            <w:tabs>
              <w:tab w:val="right" w:leader="dot" w:pos="9026"/>
            </w:tabs>
            <w:spacing w:before="120" w:after="60"/>
          </w:pPr>
          <w:hyperlink w:anchor="_Toc100018" w:history="1">
            <w:r>
              <w:rPr>
                <w:rStyle w:val="Hyperlink"/>
              </w:rPr>
              <w:t>T3: License Revoked (automatic)</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T4: System Critical (automatic)</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Shutdown Sequence</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Chapter 6 — Capital Preservation Logic</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Layer 1: Loss Streak Manager</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Layer 2: Equity Guardrail</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Layer 3: Volatility Throttle</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Chapter 7 — Risk Controls Summary</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Chapter 8 — Validation Tests</w:t>
            </w:r>
            <w:r>
              <w:tab/>
            </w:r>
            <w:r>
              <w:fldChar w:fldCharType="begin"/>
            </w:r>
            <w:r>
              <w:instrText xml:space="preserve"> PAGEREF _Toc100026 \h </w:instrText>
            </w:r>
            <w:r>
              <w:fldChar w:fldCharType="separate"/>
            </w:r>
            <w:r>
              <w:t>12</w:t>
            </w:r>
            <w:r>
              <w:fldChar w:fldCharType="end"/>
            </w:r>
          </w:hyperlink>
        </w:p>
        <w:p>
          <w:pPr>
            <w:pStyle w:val="9"/>
            <w:tabs>
              <w:tab w:val="right" w:leader="dot" w:pos="9026"/>
            </w:tabs>
            <w:spacing w:before="120" w:after="60"/>
          </w:pPr>
          <w:hyperlink w:anchor="_Toc100027" w:history="1">
            <w:r>
              <w:rPr>
                <w:rStyle w:val="Hyperlink"/>
              </w:rPr>
              <w:t>Chapter 9 — Integration with TITAN Core</w:t>
            </w:r>
            <w:r>
              <w:tab/>
            </w:r>
            <w:r>
              <w:fldChar w:fldCharType="begin"/>
            </w:r>
            <w:r>
              <w:instrText xml:space="preserve"> PAGEREF _Toc100027 \h </w:instrText>
            </w:r>
            <w:r>
              <w:fldChar w:fldCharType="separate"/>
            </w:r>
            <w:r>
              <w:t>12</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Institutional Risk Engine (IRE) is Module 8 of the TITAN XAU AI trading architecture. It is the system's ultimate safety system — a multi-layered risk management framework that enforces capital preservation across 4 risk modes (Conservative, Balanced, Aggressive, Competition), 6 core controls (Daily DD, Weekly DD, Monthly DD, Risk Per Trade, Max Open Trades, Max Exposure), and 3 defense layers (loss streak management, equity guardrail, volatility throttle). The IRE has structural veto power over every order: no trade reaches the broker without passing through the pre-trade risk gate.</w:t>
      </w:r>
    </w:p>
    <w:p>
      <w:pPr>
        <w:spacing w:after="160" w:line="312"/>
        <w:jc w:val="both"/>
      </w:pPr>
      <w:r>
        <w:rPr>
          <w:rFonts w:ascii="Liberation Serif" w:cs="Liberation Serif" w:eastAsia="Liberation Serif" w:hAnsi="Liberation Serif"/>
          <w:color w:val="14213D"/>
          <w:sz w:val="22"/>
          <w:szCs w:val="22"/>
        </w:rPr>
        <w:t xml:space="preserve">The engine operates on a simple principle: capital preservation takes absolute precedence over alpha generation. Every architectural decision — from the 3-tier circuit breaker system (soft throttle, hard halt, critical flatten) to the kill switch (&lt;500ms end-to-end shutdown) to the equity guardrail (auto-degrade to Conservative at 95% of starting equity) — exists to enforce this principle. The IRE is the structural guarantee that the system cannot blow up, regardless of what the strategies or AI models do.</w:t>
      </w:r>
    </w:p>
    <w:p>
      <w:pPr>
        <w:spacing w:after="160" w:line="312"/>
        <w:jc w:val="both"/>
      </w:pPr>
      <w:r>
        <w:rPr>
          <w:rFonts w:ascii="Liberation Serif" w:cs="Liberation Serif" w:eastAsia="Liberation Serif" w:hAnsi="Liberation Serif"/>
          <w:color w:val="14213D"/>
          <w:sz w:val="22"/>
          <w:szCs w:val="22"/>
        </w:rPr>
        <w:t xml:space="preserve">The 4 risk modes are swappable at runtime, allowing the system to adapt its risk posture to market conditions, account size, and operator preference. Conservative mode (0.5% risk per trade, 1.5% daily DD hard limit, 2 max trades) is the default and the auto-degrade target when any circuit breaker fires. Balanced mode (0.8% risk, 2.0% daily DD, 3 max trades) is the standard production mode for most licensees. Aggressive mode (1.2% risk, 3.0% daily DD, 4 max trades) requires supervisor authorization. Competition mode (2.0% risk, 5.0% daily DD, 5 max trades) requires triple authorization (CTO + risk officer + supervisor) and is intended only for trading competitions and prop firm challenges.</w:t>
      </w:r>
    </w:p>
    <w:p>
      <w:pPr>
        <w:spacing w:after="160" w:line="312"/>
        <w:jc w:val="both"/>
      </w:pPr>
      <w:r>
        <w:rPr>
          <w:rFonts w:ascii="Liberation Serif" w:cs="Liberation Serif" w:eastAsia="Liberation Serif" w:hAnsi="Liberation Serif"/>
          <w:color w:val="14213D"/>
          <w:sz w:val="22"/>
          <w:szCs w:val="22"/>
        </w:rPr>
        <w:t xml:space="preserve">The emergency shutdown system (kill switch) is the IRE's last line of defense. It can be triggered by 4 sources (hard DD, manual operator, license revocation, system critical) and executes a 4-action sequence in under 500 milliseconds: halt new orders, cancel pending orders, flatten all positions, and notify the operator. A 5-minute cooldown prevents panic re-triggering, and re-arm requires supervisor authorization plus mandatory degradation to Conservative mode.</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Architecture Overview</w:t>
      </w:r>
      <w:bookmarkEnd w:id="100001"/>
    </w:p>
    <w:p>
      <w:pPr>
        <w:spacing w:after="160" w:line="312"/>
        <w:jc w:val="both"/>
      </w:pPr>
      <w:r>
        <w:rPr>
          <w:rFonts w:ascii="Liberation Serif" w:cs="Liberation Serif" w:eastAsia="Liberation Serif" w:hAnsi="Liberation Serif"/>
          <w:color w:val="14213D"/>
          <w:sz w:val="22"/>
          <w:szCs w:val="22"/>
        </w:rPr>
        <w:t xml:space="preserve">The IRE is organized into 5 layers: risk mode selector (parameter provider), pre-trade risk gate (synchronous veto), post-trade risk monitor (async DD tracking), emergency shutdown (kill switch), and capital preservation (proactive defense). A 6th layer (audit and observability) records every decision for compliance and post-incident analysis.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IRE architecture: 5 layers + audit, showing all components.</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Layer Responsibilities</w:t>
      </w:r>
      <w:bookmarkEnd w:id="100002"/>
    </w:p>
    <w:p>
      <w:pPr>
        <w:pStyle w:val="Heading3"/>
        <w:spacing w:after="120" w:before="240"/>
      </w:pPr>
      <w:bookmarkStart w:id="100003" w:name="_Toc100003"/>
      <w:r>
        <w:rPr>
          <w:rFonts w:ascii="Liberation Serif" w:cs="Liberation Serif" w:eastAsia="Liberation Serif" w:hAnsi="Liberation Serif"/>
          <w:b/>
          <w:bCs/>
          <w:color w:val="C8102E"/>
          <w:sz w:val="24"/>
          <w:szCs w:val="24"/>
        </w:rPr>
        <w:t xml:space="preserve">L1 — Risk Mode Selector</w:t>
      </w:r>
      <w:bookmarkEnd w:id="100003"/>
    </w:p>
    <w:p>
      <w:pPr>
        <w:spacing w:after="160" w:line="312"/>
        <w:jc w:val="both"/>
      </w:pPr>
      <w:r>
        <w:rPr>
          <w:rFonts w:ascii="Liberation Serif" w:cs="Liberation Serif" w:eastAsia="Liberation Serif" w:hAnsi="Liberation Serif"/>
          <w:color w:val="14213D"/>
          <w:sz w:val="22"/>
          <w:szCs w:val="22"/>
        </w:rPr>
        <w:t xml:space="preserve">RiskModeManager loads the active risk mode at startup and provides mode-specific parameters to all other layers. Modes are swappable by operators with appropriate authorization. The mode auto-degrades to Conservative on any hard circuit breaker trigger.</w:t>
      </w:r>
    </w:p>
    <w:p>
      <w:pPr>
        <w:pStyle w:val="Heading3"/>
        <w:spacing w:after="120" w:before="240"/>
      </w:pPr>
      <w:bookmarkStart w:id="100004" w:name="_Toc100004"/>
      <w:r>
        <w:rPr>
          <w:rFonts w:ascii="Liberation Serif" w:cs="Liberation Serif" w:eastAsia="Liberation Serif" w:hAnsi="Liberation Serif"/>
          <w:b/>
          <w:bCs/>
          <w:color w:val="C8102E"/>
          <w:sz w:val="24"/>
          <w:szCs w:val="24"/>
        </w:rPr>
        <w:t xml:space="preserve">L2 — Pre-Trade Risk Gate (synchronous, &lt;0.3ms)</w:t>
      </w:r>
      <w:bookmarkEnd w:id="100004"/>
    </w:p>
    <w:p>
      <w:pPr>
        <w:spacing w:after="160" w:line="312"/>
        <w:jc w:val="both"/>
      </w:pPr>
      <w:r>
        <w:rPr>
          <w:rFonts w:ascii="Liberation Serif" w:cs="Liberation Serif" w:eastAsia="Liberation Serif" w:hAnsi="Liberation Serif"/>
          <w:color w:val="14213D"/>
          <w:sz w:val="22"/>
          <w:szCs w:val="22"/>
        </w:rPr>
        <w:t xml:space="preserve">Three validators: PositionSizeValidator (risk per trade, leverage, exposure), ConcurrencyValidator (max open trades, duplicate symbol, correlation, session, news blackout), MarginValidator (free margin floor, post-trade margin projection). If any returns REJECT, the order is blocked — no bypass. Completes in &lt;0.3ms p99.</w:t>
      </w:r>
    </w:p>
    <w:p>
      <w:pPr>
        <w:pStyle w:val="Heading3"/>
        <w:spacing w:after="120" w:before="240"/>
      </w:pPr>
      <w:bookmarkStart w:id="100005" w:name="_Toc100005"/>
      <w:r>
        <w:rPr>
          <w:rFonts w:ascii="Liberation Serif" w:cs="Liberation Serif" w:eastAsia="Liberation Serif" w:hAnsi="Liberation Serif"/>
          <w:b/>
          <w:bCs/>
          <w:color w:val="C8102E"/>
          <w:sz w:val="24"/>
          <w:szCs w:val="24"/>
        </w:rPr>
        <w:t xml:space="preserve">L3 — Post-Trade Risk Monitor (async, continuous)</w:t>
      </w:r>
      <w:bookmarkEnd w:id="100005"/>
    </w:p>
    <w:p>
      <w:pPr>
        <w:spacing w:after="160" w:line="312"/>
        <w:jc w:val="both"/>
      </w:pPr>
      <w:r>
        <w:rPr>
          <w:rFonts w:ascii="Liberation Serif" w:cs="Liberation Serif" w:eastAsia="Liberation Serif" w:hAnsi="Liberation Serif"/>
          <w:color w:val="14213D"/>
          <w:sz w:val="22"/>
          <w:szCs w:val="22"/>
        </w:rPr>
        <w:t xml:space="preserve">Three drawdown monitors: DailyDDMonitor (UTC day, resets at 00:00), WeeklyDDMonitor (7-day rolling), MonthlyDDMonitor (30-day rolling). Each has soft and hard thresholds. Soft: size × 0.5. Hard: halt new entries. Updates on every fill.</w:t>
      </w:r>
    </w:p>
    <w:p>
      <w:pPr>
        <w:pStyle w:val="Heading3"/>
        <w:spacing w:after="120" w:before="240"/>
      </w:pPr>
      <w:bookmarkStart w:id="100006" w:name="_Toc100006"/>
      <w:r>
        <w:rPr>
          <w:rFonts w:ascii="Liberation Serif" w:cs="Liberation Serif" w:eastAsia="Liberation Serif" w:hAnsi="Liberation Serif"/>
          <w:b/>
          <w:bCs/>
          <w:color w:val="C8102E"/>
          <w:sz w:val="24"/>
          <w:szCs w:val="24"/>
        </w:rPr>
        <w:t xml:space="preserve">L4 — Emergency Shutdown (kill switch, &lt;500ms)</w:t>
      </w:r>
      <w:bookmarkEnd w:id="100006"/>
    </w:p>
    <w:p>
      <w:pPr>
        <w:spacing w:after="160" w:line="312"/>
        <w:jc w:val="both"/>
      </w:pPr>
      <w:r>
        <w:rPr>
          <w:rFonts w:ascii="Liberation Serif" w:cs="Liberation Serif" w:eastAsia="Liberation Serif" w:hAnsi="Liberation Serif"/>
          <w:color w:val="14213D"/>
          <w:sz w:val="22"/>
          <w:szCs w:val="22"/>
        </w:rPr>
        <w:t xml:space="preserve">KillSwitchController executes 4-action sequence: halt new orders (atomic flag, &lt;1ms), cancel pending (~50ms), flatten all (~200ms), notify operator (~100ms). Total &lt;500ms. 5-minute cooldown. Re-arm requires supervisor auth + Conservative degradation.</w:t>
      </w:r>
    </w:p>
    <w:p>
      <w:pPr>
        <w:pStyle w:val="Heading3"/>
        <w:spacing w:after="120" w:before="240"/>
      </w:pPr>
      <w:bookmarkStart w:id="100007" w:name="_Toc100007"/>
      <w:r>
        <w:rPr>
          <w:rFonts w:ascii="Liberation Serif" w:cs="Liberation Serif" w:eastAsia="Liberation Serif" w:hAnsi="Liberation Serif"/>
          <w:b/>
          <w:bCs/>
          <w:color w:val="C8102E"/>
          <w:sz w:val="24"/>
          <w:szCs w:val="24"/>
        </w:rPr>
        <w:t xml:space="preserve">L5 — Capital Preservation (proactive)</w:t>
      </w:r>
      <w:bookmarkEnd w:id="100007"/>
    </w:p>
    <w:p>
      <w:pPr>
        <w:spacing w:after="160" w:line="312"/>
        <w:jc w:val="both"/>
      </w:pPr>
      <w:r>
        <w:rPr>
          <w:rFonts w:ascii="Liberation Serif" w:cs="Liberation Serif" w:eastAsia="Liberation Serif" w:hAnsi="Liberation Serif"/>
          <w:color w:val="14213D"/>
          <w:sz w:val="22"/>
          <w:szCs w:val="22"/>
        </w:rPr>
        <w:t xml:space="preserve">Three layers: LossStreakManager (3 losses → 0.5x, 5 → halt, 7 → flatten), EquityGuardRail (95% → degrade, 90% → halt, 85% → flatten+lock), VolatilityThrottle (ATR &gt; 60% → 0.7x, &gt; 80% → 0.3x, &gt; 95% → no entries).</w:t>
      </w:r>
    </w:p>
    <w:p>
      <w:pPr>
        <w:pStyle w:val="Heading1"/>
        <w:pageBreakBefore/>
        <w:pBdr>
          <w:bottom w:val="single" w:color="C8102E" w:sz="18" w:space="4"/>
        </w:pBdr>
        <w:spacing w:after="240" w:before="480"/>
      </w:pPr>
      <w:bookmarkStart w:id="100008" w:name="_Toc100008"/>
      <w:r>
        <w:rPr>
          <w:rFonts w:ascii="Liberation Serif" w:cs="Liberation Serif" w:eastAsia="Liberation Serif" w:hAnsi="Liberation Serif"/>
          <w:b/>
          <w:bCs/>
          <w:color w:val="14213D"/>
          <w:sz w:val="40"/>
          <w:szCs w:val="40"/>
        </w:rPr>
        <w:t xml:space="preserve">Chapter 3 — 4 Risk Modes</w:t>
      </w:r>
      <w:bookmarkEnd w:id="100008"/>
    </w:p>
    <w:p>
      <w:pPr>
        <w:spacing w:after="160" w:line="312"/>
        <w:jc w:val="both"/>
      </w:pPr>
      <w:r>
        <w:rPr>
          <w:rFonts w:ascii="Liberation Serif" w:cs="Liberation Serif" w:eastAsia="Liberation Serif" w:hAnsi="Liberation Serif"/>
          <w:color w:val="14213D"/>
          <w:sz w:val="22"/>
          <w:szCs w:val="22"/>
        </w:rPr>
        <w:t xml:space="preserve">The IRE supports 4 risk modes, each with 12+ parameters covering all 6 core controls plus additional safeguards. Modes are swappable at runtime with appropriate authorization.</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4 risk modes with all parameters side-by-side.</w:t>
      </w:r>
    </w:p>
    <w:p>
      <w:pPr>
        <w:pStyle w:val="Heading2"/>
        <w:spacing w:after="160" w:before="320"/>
      </w:pPr>
      <w:bookmarkStart w:id="100009" w:name="_Toc100009"/>
      <w:r>
        <w:rPr>
          <w:rFonts w:ascii="Liberation Serif" w:cs="Liberation Serif" w:eastAsia="Liberation Serif" w:hAnsi="Liberation Serif"/>
          <w:b/>
          <w:bCs/>
          <w:color w:val="14213D"/>
          <w:sz w:val="28"/>
          <w:szCs w:val="28"/>
        </w:rPr>
        <w:t xml:space="preserve">Mode Selection Guidelines</w:t>
      </w:r>
      <w:bookmarkEnd w:id="100009"/>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Conservative (0.5% risk): Default mode. Large accounts, initial deployment, post-drawdown recovery. Auto-degrade target.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Balanced (0.8% risk): Standard production mode for Pro tier licensees. Accounts $50k-$500k.</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Aggressive (1.2% risk): Experienced traders, high-conviction periods. Supervisor + risk officer auth. Accounts $500k+.</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Competition (2.0% risk): Trading competitions, prop firm challenges. Triple auth (CTO + risk officer + supervisor). Small accounts $1k-$10k.</w:t>
      </w:r>
    </w:p>
    <w:p>
      <w:pPr>
        <w:pStyle w:val="Heading1"/>
        <w:pageBreakBefore/>
        <w:pBdr>
          <w:bottom w:val="single" w:color="C8102E" w:sz="18" w:space="4"/>
        </w:pBdr>
        <w:spacing w:after="240" w:before="480"/>
      </w:pPr>
      <w:bookmarkStart w:id="100010" w:name="_Toc100010"/>
      <w:r>
        <w:rPr>
          <w:rFonts w:ascii="Liberation Serif" w:cs="Liberation Serif" w:eastAsia="Liberation Serif" w:hAnsi="Liberation Serif"/>
          <w:b/>
          <w:bCs/>
          <w:color w:val="14213D"/>
          <w:sz w:val="40"/>
          <w:szCs w:val="40"/>
        </w:rPr>
        <w:t xml:space="preserve">Chapter 4 — Risk Formulas</w:t>
      </w:r>
      <w:bookmarkEnd w:id="100010"/>
    </w:p>
    <w:p>
      <w:pPr>
        <w:spacing w:after="160" w:line="312"/>
        <w:jc w:val="both"/>
      </w:pPr>
      <w:r>
        <w:rPr>
          <w:rFonts w:ascii="Liberation Serif" w:cs="Liberation Serif" w:eastAsia="Liberation Serif" w:hAnsi="Liberation Serif"/>
          <w:color w:val="14213D"/>
          <w:sz w:val="22"/>
          <w:szCs w:val="22"/>
        </w:rPr>
        <w:t xml:space="preserve">All risk calculations are mode-parameterized and computed continuously.</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All risk formulas: DD, position size, exposure, circuit breaker triggers.</w:t>
      </w:r>
    </w:p>
    <w:p>
      <w:pPr>
        <w:pStyle w:val="Heading2"/>
        <w:spacing w:after="160" w:before="320"/>
      </w:pPr>
      <w:bookmarkStart w:id="100011" w:name="_Toc100011"/>
      <w:r>
        <w:rPr>
          <w:rFonts w:ascii="Liberation Serif" w:cs="Liberation Serif" w:eastAsia="Liberation Serif" w:hAnsi="Liberation Serif"/>
          <w:b/>
          <w:bCs/>
          <w:color w:val="14213D"/>
          <w:sz w:val="28"/>
          <w:szCs w:val="28"/>
        </w:rPr>
        <w:t xml:space="preserve">Drawdown Calculations</w:t>
      </w:r>
      <w:bookmarkEnd w:id="100011"/>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DailyDD = (peak_equity_today - current_equity) / peak_equity_today
  peak_today = max(equity) since 00:00 UTC · resets daily
WeeklyDD = (peak_equity_7d - current_equity) / peak_equity_7d
  peak_7d = max(equity) over rolling 7-day · no reset
MonthlyDD = (peak_equity_30d - current_equity) / peak_equity_30d
  peak_30d = max(equity) over rolling 30-day · no reset
Each has soft (size x 0.5) and hard (halt) thresholds.</w:t>
      </w:r>
    </w:p>
    <w:p>
      <w:pPr>
        <w:pStyle w:val="Heading2"/>
        <w:spacing w:after="160" w:before="320"/>
      </w:pPr>
      <w:bookmarkStart w:id="100012" w:name="_Toc100012"/>
      <w:r>
        <w:rPr>
          <w:rFonts w:ascii="Liberation Serif" w:cs="Liberation Serif" w:eastAsia="Liberation Serif" w:hAnsi="Liberation Serif"/>
          <w:b/>
          <w:bCs/>
          <w:color w:val="14213D"/>
          <w:sz w:val="28"/>
          <w:szCs w:val="28"/>
        </w:rPr>
        <w:t xml:space="preserve">Position Size Formula</w:t>
      </w:r>
      <w:bookmarkEnd w:id="100012"/>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qty = (equity * risk_per_trade%) / (stop_distance * tick_value)
risk_per_trade% = mode.risk_per_trade * confidence_factor * streak_factor * vol_factor
  bounded to [mode.risk_floor, mode.risk_ceiling]</w:t>
      </w:r>
    </w:p>
    <w:p>
      <w:pPr>
        <w:pStyle w:val="Heading2"/>
        <w:spacing w:after="160" w:before="320"/>
      </w:pPr>
      <w:bookmarkStart w:id="100013" w:name="_Toc100013"/>
      <w:r>
        <w:rPr>
          <w:rFonts w:ascii="Liberation Serif" w:cs="Liberation Serif" w:eastAsia="Liberation Serif" w:hAnsi="Liberation Serif"/>
          <w:b/>
          <w:bCs/>
          <w:color w:val="14213D"/>
          <w:sz w:val="28"/>
          <w:szCs w:val="28"/>
        </w:rPr>
        <w:t xml:space="preserve">Circuit Breaker Triggers</w:t>
      </w:r>
      <w:bookmarkEnd w:id="100013"/>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SOFT (Throttle): DD soft threshold, loss streak (halt-1), ATR &gt; 80%. Action: size × 0.5.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HARD (Halt): DD hard threshold, loss streak halt, equity &lt; guard_L1. Action: no new entries, degrade to Conservative.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CRITICAL (Flatten): Equity &lt; guard_L2, kill switch, broker disconnect, license revoked. Action: flatten ALL, halt, P1.</w:t>
      </w:r>
    </w:p>
    <w:p>
      <w:pPr>
        <w:pStyle w:val="Heading1"/>
        <w:pageBreakBefore/>
        <w:pBdr>
          <w:bottom w:val="single" w:color="C8102E" w:sz="18" w:space="4"/>
        </w:pBdr>
        <w:spacing w:after="240" w:before="480"/>
      </w:pPr>
      <w:bookmarkStart w:id="100014" w:name="_Toc100014"/>
      <w:r>
        <w:rPr>
          <w:rFonts w:ascii="Liberation Serif" w:cs="Liberation Serif" w:eastAsia="Liberation Serif" w:hAnsi="Liberation Serif"/>
          <w:b/>
          <w:bCs/>
          <w:color w:val="14213D"/>
          <w:sz w:val="40"/>
          <w:szCs w:val="40"/>
        </w:rPr>
        <w:t xml:space="preserve">Chapter 5 — Emergency Shutdown Logic</w:t>
      </w:r>
      <w:bookmarkEnd w:id="100014"/>
    </w:p>
    <w:p>
      <w:pPr>
        <w:spacing w:after="160" w:line="312"/>
        <w:jc w:val="both"/>
      </w:pPr>
      <w:r>
        <w:rPr>
          <w:rFonts w:ascii="Liberation Serif" w:cs="Liberation Serif" w:eastAsia="Liberation Serif" w:hAnsi="Liberation Serif"/>
          <w:color w:val="14213D"/>
          <w:sz w:val="22"/>
          <w:szCs w:val="22"/>
        </w:rPr>
        <w:t xml:space="preserve">The kill switch is the IRE's last line of defense. 4 triggers, 4 actions, &lt;500ms total, 5-min cooldown, re-arm with Conservative degradation.</w:t>
      </w:r>
    </w:p>
    <w:p>
      <w:pPr>
        <w:spacing w:after="100" w:before="200"/>
        <w:jc w:val="center"/>
      </w:pPr>
      <w:r>
        <w:drawing>
          <wp:inline distT="0" distB="0" distL="0" distR="0">
            <wp:extent cx="5486400" cy="66620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6662057"/>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Kill switch flowchart: 4 triggers, 4 actions, cooldown, re-arm.</w:t>
      </w:r>
    </w:p>
    <w:p>
      <w:pPr>
        <w:pStyle w:val="Heading2"/>
        <w:spacing w:after="160" w:before="320"/>
      </w:pPr>
      <w:bookmarkStart w:id="100015" w:name="_Toc100015"/>
      <w:r>
        <w:rPr>
          <w:rFonts w:ascii="Liberation Serif" w:cs="Liberation Serif" w:eastAsia="Liberation Serif" w:hAnsi="Liberation Serif"/>
          <w:b/>
          <w:bCs/>
          <w:color w:val="14213D"/>
          <w:sz w:val="28"/>
          <w:szCs w:val="28"/>
        </w:rPr>
        <w:t xml:space="preserve">Trigger Sources</w:t>
      </w:r>
      <w:bookmarkEnd w:id="100015"/>
    </w:p>
    <w:p>
      <w:pPr>
        <w:pStyle w:val="Heading3"/>
        <w:spacing w:after="120" w:before="240"/>
      </w:pPr>
      <w:bookmarkStart w:id="100016" w:name="_Toc100016"/>
      <w:r>
        <w:rPr>
          <w:rFonts w:ascii="Liberation Serif" w:cs="Liberation Serif" w:eastAsia="Liberation Serif" w:hAnsi="Liberation Serif"/>
          <w:b/>
          <w:bCs/>
          <w:color w:val="C8102E"/>
          <w:sz w:val="24"/>
          <w:szCs w:val="24"/>
        </w:rPr>
        <w:t xml:space="preserve">T1: Hard Drawdown (automatic)</w:t>
      </w:r>
      <w:bookmarkEnd w:id="100016"/>
    </w:p>
    <w:p>
      <w:pPr>
        <w:spacing w:after="160" w:line="312"/>
        <w:jc w:val="both"/>
      </w:pPr>
      <w:r>
        <w:rPr>
          <w:rFonts w:ascii="Liberation Serif" w:cs="Liberation Serif" w:eastAsia="Liberation Serif" w:hAnsi="Liberation Serif"/>
          <w:color w:val="14213D"/>
          <w:sz w:val="22"/>
          <w:szCs w:val="22"/>
        </w:rPr>
        <w:t xml:space="preserve">Any drawdown monitor (daily, weekly, monthly) hits hard threshold. No human input required.</w:t>
      </w:r>
    </w:p>
    <w:p>
      <w:pPr>
        <w:pStyle w:val="Heading3"/>
        <w:spacing w:after="120" w:before="240"/>
      </w:pPr>
      <w:bookmarkStart w:id="100017" w:name="_Toc100017"/>
      <w:r>
        <w:rPr>
          <w:rFonts w:ascii="Liberation Serif" w:cs="Liberation Serif" w:eastAsia="Liberation Serif" w:hAnsi="Liberation Serif"/>
          <w:b/>
          <w:bCs/>
          <w:color w:val="C8102E"/>
          <w:sz w:val="24"/>
          <w:szCs w:val="24"/>
        </w:rPr>
        <w:t xml:space="preserve">T2: Manual Operator (2-person rule)</w:t>
      </w:r>
      <w:bookmarkEnd w:id="100017"/>
    </w:p>
    <w:p>
      <w:pPr>
        <w:spacing w:after="160" w:line="312"/>
        <w:jc w:val="both"/>
      </w:pPr>
      <w:r>
        <w:rPr>
          <w:rFonts w:ascii="Liberation Serif" w:cs="Liberation Serif" w:eastAsia="Liberation Serif" w:hAnsi="Liberation Serif"/>
          <w:color w:val="14213D"/>
          <w:sz w:val="22"/>
          <w:szCs w:val="22"/>
        </w:rPr>
        <w:t xml:space="preserve">TRADER initiates + SUPERVISOR approves within 5-min window.</w:t>
      </w:r>
    </w:p>
    <w:p>
      <w:pPr>
        <w:pStyle w:val="Heading3"/>
        <w:spacing w:after="120" w:before="240"/>
      </w:pPr>
      <w:bookmarkStart w:id="100018" w:name="_Toc100018"/>
      <w:r>
        <w:rPr>
          <w:rFonts w:ascii="Liberation Serif" w:cs="Liberation Serif" w:eastAsia="Liberation Serif" w:hAnsi="Liberation Serif"/>
          <w:b/>
          <w:bCs/>
          <w:color w:val="C8102E"/>
          <w:sz w:val="24"/>
          <w:szCs w:val="24"/>
        </w:rPr>
        <w:t xml:space="preserve">T3: License Revoked (automatic)</w:t>
      </w:r>
      <w:bookmarkEnd w:id="100018"/>
    </w:p>
    <w:p>
      <w:pPr>
        <w:spacing w:after="160" w:line="312"/>
        <w:jc w:val="both"/>
      </w:pPr>
      <w:r>
        <w:rPr>
          <w:rFonts w:ascii="Liberation Serif" w:cs="Liberation Serif" w:eastAsia="Liberation Serif" w:hAnsi="Liberation Serif"/>
          <w:color w:val="14213D"/>
          <w:sz w:val="22"/>
          <w:szCs w:val="22"/>
        </w:rPr>
        <w:t xml:space="preserve">License heartbeat fail + 7-day grace expired.</w:t>
      </w:r>
    </w:p>
    <w:p>
      <w:pPr>
        <w:pStyle w:val="Heading3"/>
        <w:spacing w:after="120" w:before="240"/>
      </w:pPr>
      <w:bookmarkStart w:id="100019" w:name="_Toc100019"/>
      <w:r>
        <w:rPr>
          <w:rFonts w:ascii="Liberation Serif" w:cs="Liberation Serif" w:eastAsia="Liberation Serif" w:hAnsi="Liberation Serif"/>
          <w:b/>
          <w:bCs/>
          <w:color w:val="C8102E"/>
          <w:sz w:val="24"/>
          <w:szCs w:val="24"/>
        </w:rPr>
        <w:t xml:space="preserve">T4: System Critical (automatic)</w:t>
      </w:r>
      <w:bookmarkEnd w:id="100019"/>
    </w:p>
    <w:p>
      <w:pPr>
        <w:spacing w:after="160" w:line="312"/>
        <w:jc w:val="both"/>
      </w:pPr>
      <w:r>
        <w:rPr>
          <w:rFonts w:ascii="Liberation Serif" w:cs="Liberation Serif" w:eastAsia="Liberation Serif" w:hAnsi="Liberation Serif"/>
          <w:color w:val="14213D"/>
          <w:sz w:val="22"/>
          <w:szCs w:val="22"/>
        </w:rPr>
        <w:t xml:space="preserve">Broker disconnect, equity &lt; guard_L3, 2+ AI models degraded.</w:t>
      </w:r>
    </w:p>
    <w:p>
      <w:pPr>
        <w:pStyle w:val="Heading2"/>
        <w:spacing w:after="160" w:before="320"/>
      </w:pPr>
      <w:bookmarkStart w:id="100020" w:name="_Toc100020"/>
      <w:r>
        <w:rPr>
          <w:rFonts w:ascii="Liberation Serif" w:cs="Liberation Serif" w:eastAsia="Liberation Serif" w:hAnsi="Liberation Serif"/>
          <w:b/>
          <w:bCs/>
          <w:color w:val="14213D"/>
          <w:sz w:val="28"/>
          <w:szCs w:val="28"/>
        </w:rPr>
        <w:t xml:space="preserve">Shutdown Sequence</w:t>
      </w:r>
      <w:bookmarkEnd w:id="100020"/>
    </w:p>
    <w:p>
      <w:pPr>
        <w:spacing w:after="160" w:line="312"/>
        <w:jc w:val="both"/>
      </w:pPr>
      <w:r>
        <w:rPr>
          <w:rFonts w:ascii="Liberation Serif" w:cs="Liberation Serif" w:eastAsia="Liberation Serif" w:hAnsi="Liberation Serif"/>
          <w:color w:val="14213D"/>
          <w:sz w:val="22"/>
          <w:szCs w:val="22"/>
        </w:rPr>
        <w:t xml:space="preserve">4 actions in &lt;500ms: (1) Halt new orders (atomic flag, &lt;1ms), (2) Cancel pending (~50ms), (3) Flatten all (~200ms, accept slippage), (4) Notify operator (~100ms, async). 5-min cooldown prevents panic re-triggering. Re-arm requires supervisor auth + Conservative degradation + size × 0.5 for 30 min.</w:t>
      </w:r>
    </w:p>
    <w:p>
      <w:pPr>
        <w:pStyle w:val="Heading1"/>
        <w:pageBreakBefore/>
        <w:pBdr>
          <w:bottom w:val="single" w:color="C8102E" w:sz="18" w:space="4"/>
        </w:pBdr>
        <w:spacing w:after="240" w:before="480"/>
      </w:pPr>
      <w:bookmarkStart w:id="100021" w:name="_Toc100021"/>
      <w:r>
        <w:rPr>
          <w:rFonts w:ascii="Liberation Serif" w:cs="Liberation Serif" w:eastAsia="Liberation Serif" w:hAnsi="Liberation Serif"/>
          <w:b/>
          <w:bCs/>
          <w:color w:val="14213D"/>
          <w:sz w:val="40"/>
          <w:szCs w:val="40"/>
        </w:rPr>
        <w:t xml:space="preserve">Chapter 6 — Capital Preservation Logic</w:t>
      </w:r>
      <w:bookmarkEnd w:id="100021"/>
    </w:p>
    <w:p>
      <w:pPr>
        <w:spacing w:after="160" w:line="312"/>
        <w:jc w:val="both"/>
      </w:pPr>
      <w:r>
        <w:rPr>
          <w:rFonts w:ascii="Liberation Serif" w:cs="Liberation Serif" w:eastAsia="Liberation Serif" w:hAnsi="Liberation Serif"/>
          <w:color w:val="14213D"/>
          <w:sz w:val="22"/>
          <w:szCs w:val="22"/>
        </w:rPr>
        <w:t xml:space="preserve">3 proactive defense layers: loss streak management, equity guardrail, volatility throttle.</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3 capital preservation layers with triggers, actions, and reset conditions.</w:t>
      </w:r>
    </w:p>
    <w:p>
      <w:pPr>
        <w:pStyle w:val="Heading2"/>
        <w:spacing w:after="160" w:before="320"/>
      </w:pPr>
      <w:bookmarkStart w:id="100022" w:name="_Toc100022"/>
      <w:r>
        <w:rPr>
          <w:rFonts w:ascii="Liberation Serif" w:cs="Liberation Serif" w:eastAsia="Liberation Serif" w:hAnsi="Liberation Serif"/>
          <w:b/>
          <w:bCs/>
          <w:color w:val="14213D"/>
          <w:sz w:val="28"/>
          <w:szCs w:val="28"/>
        </w:rPr>
        <w:t xml:space="preserve">Layer 1: Loss Streak Manager</w:t>
      </w:r>
      <w:bookmarkEnd w:id="100022"/>
    </w:p>
    <w:p>
      <w:pPr>
        <w:spacing w:after="160" w:line="312"/>
        <w:jc w:val="both"/>
      </w:pPr>
      <w:r>
        <w:rPr>
          <w:rFonts w:ascii="Liberation Serif" w:cs="Liberation Serif" w:eastAsia="Liberation Serif" w:hAnsi="Liberation Serif"/>
          <w:color w:val="14213D"/>
          <w:sz w:val="22"/>
          <w:szCs w:val="22"/>
        </w:rPr>
        <w:t xml:space="preserve">Anti-martingale progressive de-risking. 0-2 losses: normal (1.0x). 3 losses: throttled (0.5x). 5 losses: halted (no new entries). 7 losses: critical (flatten + lock). Any win resets to 0.</w:t>
      </w:r>
    </w:p>
    <w:p>
      <w:pPr>
        <w:pStyle w:val="Heading2"/>
        <w:spacing w:after="160" w:before="320"/>
      </w:pPr>
      <w:bookmarkStart w:id="100023" w:name="_Toc100023"/>
      <w:r>
        <w:rPr>
          <w:rFonts w:ascii="Liberation Serif" w:cs="Liberation Serif" w:eastAsia="Liberation Serif" w:hAnsi="Liberation Serif"/>
          <w:b/>
          <w:bCs/>
          <w:color w:val="14213D"/>
          <w:sz w:val="28"/>
          <w:szCs w:val="28"/>
        </w:rPr>
        <w:t xml:space="preserve">Layer 2: Equity Guardrail</w:t>
      </w:r>
      <w:bookmarkEnd w:id="100023"/>
    </w:p>
    <w:p>
      <w:pPr>
        <w:spacing w:after="160" w:line="312"/>
        <w:jc w:val="both"/>
      </w:pPr>
      <w:r>
        <w:rPr>
          <w:rFonts w:ascii="Liberation Serif" w:cs="Liberation Serif" w:eastAsia="Liberation Serif" w:hAnsi="Liberation Serif"/>
          <w:color w:val="14213D"/>
          <w:sz w:val="22"/>
          <w:szCs w:val="22"/>
        </w:rPr>
        <w:t xml:space="preserve">Absolute equity protection. &gt;= 95%: normal. 90-95%: degrade to Conservative + 0.5x for 1h. 85-90%: halt + flatten. &lt; 85%: flatten + lock (CTO unlock only). Cannot be overridden.</w:t>
      </w:r>
    </w:p>
    <w:p>
      <w:pPr>
        <w:pStyle w:val="Heading2"/>
        <w:spacing w:after="160" w:before="320"/>
      </w:pPr>
      <w:bookmarkStart w:id="100024" w:name="_Toc100024"/>
      <w:r>
        <w:rPr>
          <w:rFonts w:ascii="Liberation Serif" w:cs="Liberation Serif" w:eastAsia="Liberation Serif" w:hAnsi="Liberation Serif"/>
          <w:b/>
          <w:bCs/>
          <w:color w:val="14213D"/>
          <w:sz w:val="28"/>
          <w:szCs w:val="28"/>
        </w:rPr>
        <w:t xml:space="preserve">Layer 3: Volatility Throttle</w:t>
      </w:r>
      <w:bookmarkEnd w:id="100024"/>
    </w:p>
    <w:p>
      <w:pPr>
        <w:spacing w:after="160" w:line="312"/>
        <w:jc w:val="both"/>
      </w:pPr>
      <w:r>
        <w:rPr>
          <w:rFonts w:ascii="Liberation Serif" w:cs="Liberation Serif" w:eastAsia="Liberation Serif" w:hAnsi="Liberation Serif"/>
          <w:color w:val="14213D"/>
          <w:sz w:val="22"/>
          <w:szCs w:val="22"/>
        </w:rPr>
        <w:t xml:space="preserve">ATR percentile-based. &lt; 60%: 1.0x. 60-80%: 0.7x. &gt; 80%: 0.3x. &gt; 95%: no new entries. Adapts to market conditions automatically.</w:t>
      </w:r>
    </w:p>
    <w:p>
      <w:pPr>
        <w:pStyle w:val="Heading1"/>
        <w:pageBreakBefore/>
        <w:pBdr>
          <w:bottom w:val="single" w:color="C8102E" w:sz="18" w:space="4"/>
        </w:pBdr>
        <w:spacing w:after="240" w:before="480"/>
      </w:pPr>
      <w:bookmarkStart w:id="100025" w:name="_Toc100025"/>
      <w:r>
        <w:rPr>
          <w:rFonts w:ascii="Liberation Serif" w:cs="Liberation Serif" w:eastAsia="Liberation Serif" w:hAnsi="Liberation Serif"/>
          <w:b/>
          <w:bCs/>
          <w:color w:val="14213D"/>
          <w:sz w:val="40"/>
          <w:szCs w:val="40"/>
        </w:rPr>
        <w:t xml:space="preserve">Chapter 7 — Risk Controls Summary</w:t>
      </w:r>
      <w:bookmarkEnd w:id="100025"/>
    </w:p>
    <w:p>
      <w:pPr>
        <w:spacing w:after="160" w:line="312"/>
        <w:jc w:val="both"/>
      </w:pPr>
      <w:r>
        <w:rPr>
          <w:rFonts w:ascii="Liberation Serif" w:cs="Liberation Serif" w:eastAsia="Liberation Serif" w:hAnsi="Liberation Serif"/>
          <w:color w:val="14213D"/>
          <w:sz w:val="22"/>
          <w:szCs w:val="22"/>
        </w:rPr>
        <w:t xml:space="preserve">6 core controls + 6 additional = 12 total, all mode-parameterized, all audited, all CI-tested.</w:t>
      </w:r>
    </w:p>
    <w:p>
      <w:pPr>
        <w:spacing w:after="10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Complete risk controls summary across all 4 modes.</w:t>
      </w:r>
    </w:p>
    <w:p>
      <w:pPr>
        <w:pStyle w:val="Heading1"/>
        <w:pageBreakBefore/>
        <w:pBdr>
          <w:bottom w:val="single" w:color="C8102E" w:sz="18" w:space="4"/>
        </w:pBdr>
        <w:spacing w:after="240" w:before="480"/>
      </w:pPr>
      <w:bookmarkStart w:id="100026" w:name="_Toc100026"/>
      <w:r>
        <w:rPr>
          <w:rFonts w:ascii="Liberation Serif" w:cs="Liberation Serif" w:eastAsia="Liberation Serif" w:hAnsi="Liberation Serif"/>
          <w:b/>
          <w:bCs/>
          <w:color w:val="14213D"/>
          <w:sz w:val="40"/>
          <w:szCs w:val="40"/>
        </w:rPr>
        <w:t xml:space="preserve">Chapter 8 — Validation Tests</w:t>
      </w:r>
      <w:bookmarkEnd w:id="100026"/>
    </w:p>
    <w:p>
      <w:pPr>
        <w:spacing w:after="160" w:line="312"/>
        <w:jc w:val="both"/>
      </w:pPr>
      <w:r>
        <w:rPr>
          <w:rFonts w:ascii="Liberation Serif" w:cs="Liberation Serif" w:eastAsia="Liberation Serif" w:hAnsi="Liberation Serif"/>
          <w:color w:val="14213D"/>
          <w:sz w:val="22"/>
          <w:szCs w:val="22"/>
        </w:rPr>
        <w:t xml:space="preserve">200 tests across 5 categories. Critical: kill switch &lt; 500ms, circuit breakers fire at exact thresholds, mode switch &lt; 1s, no position exceeds risk limit, equity guardrail flatten &lt; 2s.</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Test pyramid and sample test cases.</w:t>
      </w:r>
    </w:p>
    <w:p>
      <w:pPr>
        <w:pStyle w:val="Heading1"/>
        <w:pageBreakBefore/>
        <w:pBdr>
          <w:bottom w:val="single" w:color="C8102E" w:sz="18" w:space="4"/>
        </w:pBdr>
        <w:spacing w:after="240" w:before="480"/>
      </w:pPr>
      <w:bookmarkStart w:id="100027" w:name="_Toc100027"/>
      <w:r>
        <w:rPr>
          <w:rFonts w:ascii="Liberation Serif" w:cs="Liberation Serif" w:eastAsia="Liberation Serif" w:hAnsi="Liberation Serif"/>
          <w:b/>
          <w:bCs/>
          <w:color w:val="14213D"/>
          <w:sz w:val="40"/>
          <w:szCs w:val="40"/>
        </w:rPr>
        <w:t xml:space="preserve">Chapter 9 — Integration with TITAN Core</w:t>
      </w:r>
      <w:bookmarkEnd w:id="100027"/>
    </w:p>
    <w:p>
      <w:pPr>
        <w:spacing w:after="160" w:line="312"/>
        <w:jc w:val="both"/>
      </w:pPr>
      <w:r>
        <w:rPr>
          <w:rFonts w:ascii="Liberation Serif" w:cs="Liberation Serif" w:eastAsia="Liberation Serif" w:hAnsi="Liberation Serif"/>
          <w:color w:val="14213D"/>
          <w:sz w:val="22"/>
          <w:szCs w:val="22"/>
        </w:rPr>
        <w:t xml:space="preserve">The IRE integrates with every TITAN component that touches orders or equity. The pre-trade risk gate sits between Strategy Coordinator and Execution Engine, giving it structural veto power. The kill switch uses a dedicated reverse signal bus (not the main event bus), ensuring it can reach the OrderManager even if the main bus is saturated. The structural veto is enforced by the module dependency graph — there is no code path from Strategy to Execution that bypasses the Risk Engine.</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Institutional Risk Engine</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f3f8c0ab65f1df545d4f8fdb2ceff85ebe35448.png"/><Relationship Id="rId11" Type="http://schemas.openxmlformats.org/officeDocument/2006/relationships/image" Target="media/084809e8873bbc96e7ac16415e613e78a14c4ee4.png"/><Relationship Id="rId12" Type="http://schemas.openxmlformats.org/officeDocument/2006/relationships/image" Target="media/717da0970bb7f1b7d3ae027ebca536a1d0d3e6b5.png"/><Relationship Id="rId13" Type="http://schemas.openxmlformats.org/officeDocument/2006/relationships/image" Target="media/9cda5b39a3bb1bdab421668869412dc3ac2f0433.png"/><Relationship Id="rId14" Type="http://schemas.openxmlformats.org/officeDocument/2006/relationships/image" Target="media/7bcafe63f3205e75d4c27b123c10ea745b29e064.png"/><Relationship Id="rId15" Type="http://schemas.openxmlformats.org/officeDocument/2006/relationships/image" Target="media/0790551e16a9a97b702ba9cd84f080f8569e836c.png"/><Relationship Id="rId16" Type="http://schemas.openxmlformats.org/officeDocument/2006/relationships/image" Target="media/62817af8fac6cc7f1e94b22d210ce9287dccf86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Institutional Risk Engine</dc:title>
  <dc:subject>Risk engine architecture</dc:subject>
  <dc:creator>TITAN Quant Research</dc:creator>
  <dc:description>Institutional Risk Engine: 4 modes, 12 controls, kill switch</dc:description>
  <cp:lastModifiedBy>Un-named</cp:lastModifiedBy>
  <cp:revision>1</cp:revision>
  <dcterms:created xsi:type="dcterms:W3CDTF">2026-06-19T09:30:17.276Z</dcterms:created>
  <dcterms:modified xsi:type="dcterms:W3CDTF">2026-06-19T09:30:17.277Z</dcterms:modified>
</cp:coreProperties>
</file>

<file path=docProps/custom.xml><?xml version="1.0" encoding="utf-8"?>
<Properties xmlns="http://schemas.openxmlformats.org/officeDocument/2006/custom-properties" xmlns:vt="http://schemas.openxmlformats.org/officeDocument/2006/docPropsVTypes"/>
</file>