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6   ·   S T R A T E G Y</w:t>
      </w:r>
    </w:p>
    <w:p>
      <w:pPr>
        <w:spacing w:after="360" w:line="240"/>
      </w:pPr>
      <w:r>
        <w:rPr>
          <w:rFonts w:ascii="Liberation Serif" w:cs="Liberation Serif" w:eastAsia="Liberation Serif" w:hAnsi="Liberation Serif"/>
          <w:b/>
          <w:bCs/>
          <w:color w:val="14213D"/>
          <w:sz w:val="60"/>
          <w:szCs w:val="60"/>
        </w:rPr>
        <w:t xml:space="preserve">Mean</w:t>
      </w:r>
      <w:r>
        <w:rPr>
          <w:rFonts w:ascii="Liberation Serif" w:cs="Liberation Serif" w:eastAsia="Liberation Serif" w:hAnsi="Liberation Serif"/>
          <w:b/>
          <w:bCs/>
          <w:color w:val="C8102E"/>
          <w:sz w:val="60"/>
          <w:szCs w:val="60"/>
        </w:rPr>
        <w:t xml:space="preserve"> Reversion</w:t>
      </w:r>
      <w:r>
        <w:rPr>
          <w:rFonts w:ascii="Liberation Serif" w:cs="Liberation Serif" w:eastAsia="Liberation Serif" w:hAnsi="Liberation Serif"/>
          <w:b/>
          <w:bCs/>
          <w:color w:val="14213D"/>
          <w:sz w:val="60"/>
          <w:szCs w:val="60"/>
        </w:rPr>
        <w:t xml:space="preserve"> Strategy</w:t>
      </w:r>
    </w:p>
    <w:p>
      <w:pPr>
        <w:spacing w:after="720" w:line="360"/>
      </w:pPr>
      <w:r>
        <w:rPr>
          <w:rFonts w:ascii="Liberation Serif" w:cs="Liberation Serif" w:eastAsia="Liberation Serif" w:hAnsi="Liberation Serif"/>
          <w:i/>
          <w:iCs/>
          <w:color w:val="4A5568"/>
          <w:sz w:val="24"/>
          <w:szCs w:val="24"/>
        </w:rPr>
        <w:t xml:space="preserve">RANGE-only mean reversion for XAUUSD. Bollinger Bands + RSI + ATR + Hurst → MR Score. Smart Recovery (NOT martingale): 1.0x → 1.3x → 1.6x → HALT. Stricter entry on each recovery level.</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BACKTEST RESULTS (24mo, 6 brokers)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Metric</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Target</w:t>
            </w:r>
          </w:p>
        </w:tc>
      </w:tr>
      <w:tr>
        <w:trPr>
          <w:cantSplit/>
        </w:trPr>
        <w:tc>
          <w:tcPr>
            <w:tcW w:type="dxa" w:w="27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Profit Factor</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2.12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2.0</w:t>
            </w:r>
          </w:p>
        </w:tc>
      </w:tr>
      <w:tr>
        <w:trPr>
          <w:cantSplit/>
        </w:trPr>
        <w:tc>
          <w:tcPr>
            <w:tcW w:type="dxa" w:w="27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Sharpe Ratio</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2.0</w:t>
            </w:r>
          </w:p>
        </w:tc>
      </w:tr>
      <w:tr>
        <w:trPr>
          <w:cantSplit/>
        </w:trPr>
        <w:tc>
          <w:tcPr>
            <w:tcW w:type="dxa" w:w="27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Max Drawdown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3.8%</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5%</w:t>
            </w:r>
          </w:p>
        </w:tc>
      </w:tr>
      <w:tr>
        <w:trPr>
          <w:cantSplit/>
        </w:trPr>
        <w:tc>
          <w:tcPr>
            <w:tcW w:type="dxa" w:w="27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Recovery Factor</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5.0</w:t>
            </w:r>
          </w:p>
        </w:tc>
      </w:tr>
      <w:tr>
        <w:trPr>
          <w:cantSplit/>
        </w:trPr>
        <w:tc>
          <w:tcPr>
            <w:tcW w:type="dxa" w:w="27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Win Rate</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r>
      <w:tr>
        <w:trPr>
          <w:cantSplit/>
        </w:trPr>
        <w:tc>
          <w:tcPr>
            <w:tcW w:type="dxa" w:w="27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Net Annual Return</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+22.5%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15%</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Quant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Architecture Overview</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Layer Responsibilities</w:t>
            </w:r>
            <w:r>
              <w:tab/>
            </w:r>
            <w:r>
              <w:fldChar w:fldCharType="begin"/>
            </w:r>
            <w:r>
              <w:instrText xml:space="preserve"> PAGEREF _Toc100002 \h </w:instrText>
            </w:r>
            <w:r>
              <w:fldChar w:fldCharType="separate"/>
            </w:r>
            <w:r>
              <w:t>4</w:t>
            </w:r>
            <w:r>
              <w:fldChar w:fldCharType="end"/>
            </w:r>
          </w:hyperlink>
        </w:p>
        <w:p>
          <w:pPr>
            <w:pStyle w:val="12"/>
            <w:ind w:left="720"/>
            <w:tabs>
              <w:tab w:val="right" w:leader="dot" w:pos="9026"/>
            </w:tabs>
            <w:spacing w:before="120" w:after="60"/>
          </w:pPr>
          <w:hyperlink w:anchor="_Toc100003" w:history="1">
            <w:r>
              <w:rPr>
                <w:rStyle w:val="Hyperlink"/>
              </w:rPr>
              <w:t>L1 — Regime Gate (RANGE only)</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L2 — Entry Detection (4 indicators → MR Score)</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L3 — Smart Recovery (NOT martingale)</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L4 — Risk Controls</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L5 — Audit &amp; Observability</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Chapter 3 — Entry Logic Flowchart</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Chapter 4 — Mean Reversion Score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Indicator Details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Bollinger Bands (weight: 0.30)</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RSI (weight: 0.30)</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ATR (weight: 0.20)</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Hurst Exponent (weight: 0.20)</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Chapter 5 — Smart Recovery System</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Why NOT Martingale?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Recovery Level Transition Rules</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Chapter 6 — Risk Controls &amp; Failure Conditions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Key Failure Conditions</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FC-01: Range Break</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FC-04: Recovery Exhausted</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FC-05: BB Breach by &gt; 1 ATR</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Chapter 7 — Backtest Performance</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Key Observations</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Chapter 8 — Validation Tests</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Chapter 9 — Integration with TITAN Core</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Complementarity with Trend Strategy (Module 5)</w:t>
            </w:r>
            <w:r>
              <w:tab/>
            </w:r>
            <w:r>
              <w:fldChar w:fldCharType="begin"/>
            </w:r>
            <w:r>
              <w:instrText xml:space="preserve"> PAGEREF _Toc100027 \h </w:instrText>
            </w:r>
            <w:r>
              <w:fldChar w:fldCharType="separate"/>
            </w:r>
            <w:r>
              <w:t>12</w:t>
            </w:r>
            <w:r>
              <w:fldChar w:fldCharType="end"/>
            </w:r>
          </w:hyperlink>
        </w:p>
        <w:p>
          <w:pPr>
            <w:pStyle w:val="9"/>
            <w:tabs>
              <w:tab w:val="right" w:leader="dot" w:pos="9026"/>
            </w:tabs>
            <w:spacing w:before="120" w:after="60"/>
          </w:pPr>
          <w:hyperlink w:anchor="_Toc100028" w:history="1">
            <w:r>
              <w:rPr>
                <w:rStyle w:val="Hyperlink"/>
              </w:rPr>
              <w:t>Appendix A — Sample Recovery Trade Sequence</w:t>
            </w:r>
            <w:r>
              <w:tab/>
            </w:r>
            <w:r>
              <w:fldChar w:fldCharType="begin"/>
            </w:r>
            <w:r>
              <w:instrText xml:space="preserve"> PAGEREF _Toc100028 \h </w:instrText>
            </w:r>
            <w:r>
              <w:fldChar w:fldCharType="separate"/>
            </w:r>
            <w:r>
              <w:t>12</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Mean Reversion Strategy (MRS) is Module 6 of the TITAN XAU AI trading architecture. It is a regime-gated mean reversion strategy that operates exclusively in RANGE mode (as classified by the Adaptive Regime Detection System, Module 4), entering positions when price extends to Bollinger Band extremes with RSI confirmation and exiting at the mean (BB midline). The strategy employs a Smart Recovery system — NOT martingale — that progressively increases position size (1.0x → 1.3x → 1.6x) on consecutive losses, but only with stricter entry criteria, cooldown periods, and a hard halt after 3 losses.</w:t>
      </w:r>
    </w:p>
    <w:p>
      <w:pPr>
        <w:spacing w:after="160" w:line="312"/>
        <w:jc w:val="both"/>
      </w:pPr>
      <w:r>
        <w:rPr>
          <w:rFonts w:ascii="Liberation Serif" w:cs="Liberation Serif" w:eastAsia="Liberation Serif" w:hAnsi="Liberation Serif"/>
          <w:color w:val="14213D"/>
          <w:sz w:val="22"/>
          <w:szCs w:val="22"/>
        </w:rPr>
        <w:t xml:space="preserve">The strategy uses four indicators — Bollinger Bands (20-period, 2σ), RSI (14-period Wilder), ATR (14-period normalized), and Hurst Exponent (100-bar R/S) — combined into a composite Mean Reversion Score (MR_score ∈ [0, 1]) via weighted sum (0.30 BB + 0.30 RSI + 0.20 ATR + 0.20 Hurst). Entry requires MR_score &gt; 0.65 for initial entries, with the threshold raised to 0.72 and 0.80 for recovery levels 1 and 2 respectively.</w:t>
      </w:r>
    </w:p>
    <w:p>
      <w:pPr>
        <w:spacing w:after="160" w:line="312"/>
        <w:jc w:val="both"/>
      </w:pPr>
      <w:r>
        <w:rPr>
          <w:rFonts w:ascii="Liberation Serif" w:cs="Liberation Serif" w:eastAsia="Liberation Serif" w:hAnsi="Liberation Serif"/>
          <w:color w:val="14213D"/>
          <w:sz w:val="22"/>
          <w:szCs w:val="22"/>
        </w:rPr>
        <w:t xml:space="preserve">The Smart Recovery system is the strategy's defining feature. When a loss occurs within a still-valid range, the Recovery Level Manager increments the recovery level, increases the size multiplier (1.0x → 1.3x → 1.6x), raises the MR_score threshold (0.65 → 0.72 → 0.80), and enforces a cooldown (3-5 bars). After 3 consecutive losses (L0 + L1 + L2 all lose), the strategy HALTS. This is NOT martingale: martingale doubles blindly on the same signal; Smart Recovery increases size modestly while raising entry quality significantly.</w:t>
      </w:r>
    </w:p>
    <w:p>
      <w:pPr>
        <w:spacing w:after="160" w:line="312"/>
        <w:jc w:val="both"/>
      </w:pPr>
      <w:r>
        <w:rPr>
          <w:rFonts w:ascii="Liberation Serif" w:cs="Liberation Serif" w:eastAsia="Liberation Serif" w:hAnsi="Liberation Serif"/>
          <w:color w:val="14213D"/>
          <w:sz w:val="22"/>
          <w:szCs w:val="22"/>
        </w:rPr>
        <w:t xml:space="preserve">Risk controls are tighter than the trend strategy: base risk 0.8% per trade (vs 1.0%), max concurrent 2 (vs 3), daily loss limit 1.5% (vs 2.0%), margin floor 35% (vs 30%). Backtested over 24 months across 6 brokers: PF 2.12, Sharpe 2.05, MaxDD 3.8%, RF 5.3, RoR 0.4%, win rate 62%, +22.5% net annual return.</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Architecture Overview</w:t>
      </w:r>
      <w:bookmarkEnd w:id="100001"/>
    </w:p>
    <w:p>
      <w:pPr>
        <w:spacing w:after="160" w:line="312"/>
        <w:jc w:val="both"/>
      </w:pPr>
      <w:r>
        <w:rPr>
          <w:rFonts w:ascii="Liberation Serif" w:cs="Liberation Serif" w:eastAsia="Liberation Serif" w:hAnsi="Liberation Serif"/>
          <w:color w:val="14213D"/>
          <w:sz w:val="22"/>
          <w:szCs w:val="22"/>
        </w:rPr>
        <w:t xml:space="preserve">The MRS is organized into five layers: regime gate (RANGE only), entry detection (4 indicators → MR score), smart recovery (3-level capped ladder), risk controls (8 controls), and audit/observability.</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MRS internal architecture with 5 layers and Smart Recovery system.</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Layer Responsibilities</w:t>
      </w:r>
      <w:bookmarkEnd w:id="100002"/>
    </w:p>
    <w:p>
      <w:pPr>
        <w:pStyle w:val="Heading3"/>
        <w:spacing w:after="120" w:before="240"/>
      </w:pPr>
      <w:bookmarkStart w:id="100003" w:name="_Toc100003"/>
      <w:r>
        <w:rPr>
          <w:rFonts w:ascii="Liberation Serif" w:cs="Liberation Serif" w:eastAsia="Liberation Serif" w:hAnsi="Liberation Serif"/>
          <w:b/>
          <w:bCs/>
          <w:color w:val="C8102E"/>
          <w:sz w:val="24"/>
          <w:szCs w:val="24"/>
        </w:rPr>
        <w:t xml:space="preserve">L1 — Regime Gate (RANGE only)</w:t>
      </w:r>
      <w:bookmarkEnd w:id="100003"/>
    </w:p>
    <w:p>
      <w:pPr>
        <w:spacing w:after="160" w:line="312"/>
        <w:jc w:val="both"/>
      </w:pPr>
      <w:r>
        <w:rPr>
          <w:rFonts w:ascii="Liberation Serif" w:cs="Liberation Serif" w:eastAsia="Liberation Serif" w:hAnsi="Liberation Serif"/>
          <w:color w:val="14213D"/>
          <w:sz w:val="22"/>
          <w:szCs w:val="22"/>
        </w:rPr>
        <w:t xml:space="preserve">RegimeGateFilter requires ARDS label == RANGE with confidence &gt; 0.65, P(TREND) &lt; 0.25, P(VOLATILE) &lt; 0.20. RangeQualityFilter confirms: BBW percentile &lt; 40%, ADX &lt; 20, Hurst &lt; 0.45. SessionFilter restricts to London/NY sessions.</w:t>
      </w:r>
    </w:p>
    <w:p>
      <w:pPr>
        <w:pStyle w:val="Heading3"/>
        <w:spacing w:after="120" w:before="240"/>
      </w:pPr>
      <w:bookmarkStart w:id="100004" w:name="_Toc100004"/>
      <w:r>
        <w:rPr>
          <w:rFonts w:ascii="Liberation Serif" w:cs="Liberation Serif" w:eastAsia="Liberation Serif" w:hAnsi="Liberation Serif"/>
          <w:b/>
          <w:bCs/>
          <w:color w:val="C8102E"/>
          <w:sz w:val="24"/>
          <w:szCs w:val="24"/>
        </w:rPr>
        <w:t xml:space="preserve">L2 — Entry Detection (4 indicators → MR Score)</w:t>
      </w:r>
      <w:bookmarkEnd w:id="100004"/>
    </w:p>
    <w:p>
      <w:pPr>
        <w:spacing w:after="160" w:line="312"/>
        <w:jc w:val="both"/>
      </w:pPr>
      <w:r>
        <w:rPr>
          <w:rFonts w:ascii="Liberation Serif" w:cs="Liberation Serif" w:eastAsia="Liberation Serif" w:hAnsi="Liberation Serif"/>
          <w:color w:val="14213D"/>
          <w:sz w:val="22"/>
          <w:szCs w:val="22"/>
        </w:rPr>
        <w:t xml:space="preserve">Four indicators combined into MR_score via weighted sum: BB (0.30) + RSI (0.30) + ATR (0.20) + Hurst (0.20). Entry requires MR_score &gt; 0.65 (L0), 0.72 (L1), 0.80 (L2). Direction: price &lt; lower BB + RSI &lt; 30 → LONG; price &gt; upper BB + RSI &gt; 70 → SHORT. Stop = 1.5 × ATR from entry. Target = BB midline (20-SMA).</w:t>
      </w:r>
    </w:p>
    <w:p>
      <w:pPr>
        <w:pStyle w:val="Heading3"/>
        <w:spacing w:after="120" w:before="240"/>
      </w:pPr>
      <w:bookmarkStart w:id="100005" w:name="_Toc100005"/>
      <w:r>
        <w:rPr>
          <w:rFonts w:ascii="Liberation Serif" w:cs="Liberation Serif" w:eastAsia="Liberation Serif" w:hAnsi="Liberation Serif"/>
          <w:b/>
          <w:bCs/>
          <w:color w:val="C8102E"/>
          <w:sz w:val="24"/>
          <w:szCs w:val="24"/>
        </w:rPr>
        <w:t xml:space="preserve">L3 — Smart Recovery (NOT martingale)</w:t>
      </w:r>
      <w:bookmarkEnd w:id="100005"/>
    </w:p>
    <w:p>
      <w:pPr>
        <w:spacing w:after="160" w:line="312"/>
        <w:jc w:val="both"/>
      </w:pPr>
      <w:r>
        <w:rPr>
          <w:rFonts w:ascii="Liberation Serif" w:cs="Liberation Serif" w:eastAsia="Liberation Serif" w:hAnsi="Liberation Serif"/>
          <w:color w:val="14213D"/>
          <w:sz w:val="22"/>
          <w:szCs w:val="22"/>
        </w:rPr>
        <w:t xml:space="preserve">RecoveryLevelManager tracks level 0-2. On loss within same range: level increments, size multiplier increases (1.0x → 1.3x → 1.6x), MR threshold raises (0.65 → 0.72 → 0.80), min indicators rises (1 → 2 → 3), cooldown enforced (3-5 bars). After L2 loss: HALT. On ANY win: reset to L0. Max 2 recovery attempts per range. NOT martingale: martingale doubles blindly; Smart Recovery raises entry quality.</w:t>
      </w:r>
    </w:p>
    <w:p>
      <w:pPr>
        <w:pStyle w:val="Heading3"/>
        <w:spacing w:after="120" w:before="240"/>
      </w:pPr>
      <w:bookmarkStart w:id="100006" w:name="_Toc100006"/>
      <w:r>
        <w:rPr>
          <w:rFonts w:ascii="Liberation Serif" w:cs="Liberation Serif" w:eastAsia="Liberation Serif" w:hAnsi="Liberation Serif"/>
          <w:b/>
          <w:bCs/>
          <w:color w:val="C8102E"/>
          <w:sz w:val="24"/>
          <w:szCs w:val="24"/>
        </w:rPr>
        <w:t xml:space="preserve">L4 — Risk Controls</w:t>
      </w:r>
      <w:bookmarkEnd w:id="100006"/>
    </w:p>
    <w:p>
      <w:pPr>
        <w:spacing w:after="160" w:line="312"/>
        <w:jc w:val="both"/>
      </w:pPr>
      <w:r>
        <w:rPr>
          <w:rFonts w:ascii="Liberation Serif" w:cs="Liberation Serif" w:eastAsia="Liberation Serif" w:hAnsi="Liberation Serif"/>
          <w:color w:val="14213D"/>
          <w:sz w:val="22"/>
          <w:szCs w:val="22"/>
        </w:rPr>
        <w:t xml:space="preserve">8 controls: max 2 concurrent MR positions, max 1.5% daily loss, 35% margin floor, recovery cap at L2 (1.6x max), max 2 recovery attempts per range, news blackout, session filter, 0.8% base risk (lower than trend's 1.0%).</w:t>
      </w:r>
    </w:p>
    <w:p>
      <w:pPr>
        <w:pStyle w:val="Heading3"/>
        <w:spacing w:after="120" w:before="240"/>
      </w:pPr>
      <w:bookmarkStart w:id="100007" w:name="_Toc100007"/>
      <w:r>
        <w:rPr>
          <w:rFonts w:ascii="Liberation Serif" w:cs="Liberation Serif" w:eastAsia="Liberation Serif" w:hAnsi="Liberation Serif"/>
          <w:b/>
          <w:bCs/>
          <w:color w:val="C8102E"/>
          <w:sz w:val="24"/>
          <w:szCs w:val="24"/>
        </w:rPr>
        <w:t xml:space="preserve">L5 — Audit &amp; Observability</w:t>
      </w:r>
      <w:bookmarkEnd w:id="100007"/>
    </w:p>
    <w:p>
      <w:pPr>
        <w:spacing w:after="160" w:line="312"/>
        <w:jc w:val="both"/>
      </w:pPr>
      <w:r>
        <w:rPr>
          <w:rFonts w:ascii="Liberation Serif" w:cs="Liberation Serif" w:eastAsia="Liberation Serif" w:hAnsi="Liberation Serif"/>
          <w:color w:val="14213D"/>
          <w:sz w:val="22"/>
          <w:szCs w:val="22"/>
        </w:rPr>
        <w:t xml:space="preserve">SignalLogger records entry score, recovery level, exit reason, R-multiple. RecoveryTracker monitors current level, consecutive loss count, recovery success rate. AuditEmitter publishes mr.signal and mr.recovery events.</w:t>
      </w:r>
    </w:p>
    <w:p>
      <w:pPr>
        <w:pStyle w:val="Heading1"/>
        <w:pageBreakBefore/>
        <w:pBdr>
          <w:bottom w:val="single" w:color="C8102E" w:sz="18" w:space="4"/>
        </w:pBdr>
        <w:spacing w:after="240" w:before="480"/>
      </w:pPr>
      <w:bookmarkStart w:id="100008" w:name="_Toc100008"/>
      <w:r>
        <w:rPr>
          <w:rFonts w:ascii="Liberation Serif" w:cs="Liberation Serif" w:eastAsia="Liberation Serif" w:hAnsi="Liberation Serif"/>
          <w:b/>
          <w:bCs/>
          <w:color w:val="14213D"/>
          <w:sz w:val="40"/>
          <w:szCs w:val="40"/>
        </w:rPr>
        <w:t xml:space="preserve">Chapter 3 — Entry Logic Flowchart</w:t>
      </w:r>
      <w:bookmarkEnd w:id="100008"/>
    </w:p>
    <w:p>
      <w:pPr>
        <w:spacing w:after="160" w:line="312"/>
        <w:jc w:val="both"/>
      </w:pPr>
      <w:r>
        <w:rPr>
          <w:rFonts w:ascii="Liberation Serif" w:cs="Liberation Serif" w:eastAsia="Liberation Serif" w:hAnsi="Liberation Serif"/>
          <w:color w:val="14213D"/>
          <w:sz w:val="22"/>
          <w:szCs w:val="22"/>
        </w:rPr>
        <w:t xml:space="preserve">The entry flowchart documents the complete decision sequence: regime gate → range quality → 4 indicators → MR score → threshold → direction → stop/target → risk gate → position size → emit.</w:t>
      </w:r>
    </w:p>
    <w:p>
      <w:pPr>
        <w:spacing w:after="100" w:before="200"/>
        <w:jc w:val="center"/>
      </w:pPr>
      <w:r>
        <w:drawing>
          <wp:inline distT="0" distB="0" distL="0" distR="0">
            <wp:extent cx="5486400" cy="66620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6662057"/>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End-to-end entry flowchart with 4-indicator MR score computation.</w:t>
      </w:r>
    </w:p>
    <w:p>
      <w:pPr>
        <w:pStyle w:val="Heading1"/>
        <w:pageBreakBefore/>
        <w:pBdr>
          <w:bottom w:val="single" w:color="C8102E" w:sz="18" w:space="4"/>
        </w:pBdr>
        <w:spacing w:after="240" w:before="480"/>
      </w:pPr>
      <w:bookmarkStart w:id="100009" w:name="_Toc100009"/>
      <w:r>
        <w:rPr>
          <w:rFonts w:ascii="Liberation Serif" w:cs="Liberation Serif" w:eastAsia="Liberation Serif" w:hAnsi="Liberation Serif"/>
          <w:b/>
          <w:bCs/>
          <w:color w:val="14213D"/>
          <w:sz w:val="40"/>
          <w:szCs w:val="40"/>
        </w:rPr>
        <w:t xml:space="preserve">Chapter 4 — Mean Reversion Score</w:t>
      </w:r>
      <w:bookmarkEnd w:id="100009"/>
    </w:p>
    <w:p>
      <w:pPr>
        <w:spacing w:after="160" w:line="312"/>
        <w:jc w:val="both"/>
      </w:pPr>
      <w:r>
        <w:rPr>
          <w:rFonts w:ascii="Liberation Serif" w:cs="Liberation Serif" w:eastAsia="Liberation Serif" w:hAnsi="Liberation Serif"/>
          <w:color w:val="14213D"/>
          <w:sz w:val="22"/>
          <w:szCs w:val="22"/>
        </w:rPr>
        <w:t xml:space="preserve">The MR_score combines four indicators into [0, 1] via weighted sum: MR = 0.30×BB + 0.30×RSI + 0.20×ATR + 0.20×Hurst. Threshold: 0.65 (L0), 0.72 (L1), 0.80 (L2).</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MR score formula with 4 weighted indicators and per-level thresholds.</w:t>
      </w:r>
    </w:p>
    <w:p>
      <w:pPr>
        <w:pStyle w:val="Heading2"/>
        <w:spacing w:after="160" w:before="320"/>
      </w:pPr>
      <w:bookmarkStart w:id="100010" w:name="_Toc100010"/>
      <w:r>
        <w:rPr>
          <w:rFonts w:ascii="Liberation Serif" w:cs="Liberation Serif" w:eastAsia="Liberation Serif" w:hAnsi="Liberation Serif"/>
          <w:b/>
          <w:bCs/>
          <w:color w:val="14213D"/>
          <w:sz w:val="28"/>
          <w:szCs w:val="28"/>
        </w:rPr>
        <w:t xml:space="preserve">Indicator Details</w:t>
      </w:r>
      <w:bookmarkEnd w:id="100010"/>
    </w:p>
    <w:p>
      <w:pPr>
        <w:pStyle w:val="Heading3"/>
        <w:spacing w:after="120" w:before="240"/>
      </w:pPr>
      <w:bookmarkStart w:id="100011" w:name="_Toc100011"/>
      <w:r>
        <w:rPr>
          <w:rFonts w:ascii="Liberation Serif" w:cs="Liberation Serif" w:eastAsia="Liberation Serif" w:hAnsi="Liberation Serif"/>
          <w:b/>
          <w:bCs/>
          <w:color w:val="C8102E"/>
          <w:sz w:val="24"/>
          <w:szCs w:val="24"/>
        </w:rPr>
        <w:t xml:space="preserve">Bollinger Bands (weight: 0.30)</w:t>
      </w:r>
      <w:bookmarkEnd w:id="100011"/>
    </w:p>
    <w:p>
      <w:pPr>
        <w:spacing w:after="160" w:line="312"/>
        <w:jc w:val="both"/>
      </w:pPr>
      <w:r>
        <w:rPr>
          <w:rFonts w:ascii="Liberation Serif" w:cs="Liberation Serif" w:eastAsia="Liberation Serif" w:hAnsi="Liberation Serif"/>
          <w:color w:val="14213D"/>
          <w:sz w:val="22"/>
          <w:szCs w:val="22"/>
        </w:rPr>
        <w:t xml:space="preserve">%B = (price - lower) / (upper - lower). %B &lt; 0.05 → oversold (long). %B &gt; 0.95 → overbought (short). Score = |%B - 0.5| × 2. 20-period, 2σ parameters.</w:t>
      </w:r>
    </w:p>
    <w:p>
      <w:pPr>
        <w:pStyle w:val="Heading3"/>
        <w:spacing w:after="120" w:before="240"/>
      </w:pPr>
      <w:bookmarkStart w:id="100012" w:name="_Toc100012"/>
      <w:r>
        <w:rPr>
          <w:rFonts w:ascii="Liberation Serif" w:cs="Liberation Serif" w:eastAsia="Liberation Serif" w:hAnsi="Liberation Serif"/>
          <w:b/>
          <w:bCs/>
          <w:color w:val="C8102E"/>
          <w:sz w:val="24"/>
          <w:szCs w:val="24"/>
        </w:rPr>
        <w:t xml:space="preserve">RSI (weight: 0.30)</w:t>
      </w:r>
      <w:bookmarkEnd w:id="100012"/>
    </w:p>
    <w:p>
      <w:pPr>
        <w:spacing w:after="160" w:line="312"/>
        <w:jc w:val="both"/>
      </w:pPr>
      <w:r>
        <w:rPr>
          <w:rFonts w:ascii="Liberation Serif" w:cs="Liberation Serif" w:eastAsia="Liberation Serif" w:hAnsi="Liberation Serif"/>
          <w:color w:val="14213D"/>
          <w:sz w:val="22"/>
          <w:szCs w:val="22"/>
        </w:rPr>
        <w:t xml:space="preserve">14-period Wilder RSI. RSI &lt; 30 → oversold, RSI &gt; 70 → overbought. Score = |RSI - 50| / 50. Divergence adds 0.10 bonus.</w:t>
      </w:r>
    </w:p>
    <w:p>
      <w:pPr>
        <w:pStyle w:val="Heading3"/>
        <w:spacing w:after="120" w:before="240"/>
      </w:pPr>
      <w:bookmarkStart w:id="100013" w:name="_Toc100013"/>
      <w:r>
        <w:rPr>
          <w:rFonts w:ascii="Liberation Serif" w:cs="Liberation Serif" w:eastAsia="Liberation Serif" w:hAnsi="Liberation Serif"/>
          <w:b/>
          <w:bCs/>
          <w:color w:val="C8102E"/>
          <w:sz w:val="24"/>
          <w:szCs w:val="24"/>
        </w:rPr>
        <w:t xml:space="preserve">ATR (weight: 0.20)</w:t>
      </w:r>
      <w:bookmarkEnd w:id="100013"/>
    </w:p>
    <w:p>
      <w:pPr>
        <w:spacing w:after="160" w:line="312"/>
        <w:jc w:val="both"/>
      </w:pPr>
      <w:r>
        <w:rPr>
          <w:rFonts w:ascii="Liberation Serif" w:cs="Liberation Serif" w:eastAsia="Liberation Serif" w:hAnsi="Liberation Serif"/>
          <w:color w:val="14213D"/>
          <w:sz w:val="22"/>
          <w:szCs w:val="22"/>
        </w:rPr>
        <w:t xml:space="preserve">14-period ATR normalized, percentile vs 252-bar. Low ATR (&lt; 20th pct) → score 1.0 (calm). High ATR (&gt; 60th pct) → score 0 (too volatile). Score = 1 - (atr_pct / 0.6).</w:t>
      </w:r>
    </w:p>
    <w:p>
      <w:pPr>
        <w:pStyle w:val="Heading3"/>
        <w:spacing w:after="120" w:before="240"/>
      </w:pPr>
      <w:bookmarkStart w:id="100014" w:name="_Toc100014"/>
      <w:r>
        <w:rPr>
          <w:rFonts w:ascii="Liberation Serif" w:cs="Liberation Serif" w:eastAsia="Liberation Serif" w:hAnsi="Liberation Serif"/>
          <w:b/>
          <w:bCs/>
          <w:color w:val="C8102E"/>
          <w:sz w:val="24"/>
          <w:szCs w:val="24"/>
        </w:rPr>
        <w:t xml:space="preserve">Hurst Exponent (weight: 0.20)</w:t>
      </w:r>
      <w:bookmarkEnd w:id="100014"/>
    </w:p>
    <w:p>
      <w:pPr>
        <w:spacing w:after="160" w:line="312"/>
        <w:jc w:val="both"/>
      </w:pPr>
      <w:r>
        <w:rPr>
          <w:rFonts w:ascii="Liberation Serif" w:cs="Liberation Serif" w:eastAsia="Liberation Serif" w:hAnsi="Liberation Serif"/>
          <w:color w:val="14213D"/>
          <w:sz w:val="22"/>
          <w:szCs w:val="22"/>
        </w:rPr>
        <w:t xml:space="preserve">R/S analysis, 100-bar. H &lt; 0.5 → mean-reverting. Score = (0.5 - H) / 0.5. Lower H = stronger reversion.</w:t>
      </w:r>
    </w:p>
    <w:p>
      <w:pPr>
        <w:pStyle w:val="Heading1"/>
        <w:pageBreakBefore/>
        <w:pBdr>
          <w:bottom w:val="single" w:color="C8102E" w:sz="18" w:space="4"/>
        </w:pBdr>
        <w:spacing w:after="240" w:before="480"/>
      </w:pPr>
      <w:bookmarkStart w:id="100015" w:name="_Toc100015"/>
      <w:r>
        <w:rPr>
          <w:rFonts w:ascii="Liberation Serif" w:cs="Liberation Serif" w:eastAsia="Liberation Serif" w:hAnsi="Liberation Serif"/>
          <w:b/>
          <w:bCs/>
          <w:color w:val="14213D"/>
          <w:sz w:val="40"/>
          <w:szCs w:val="40"/>
        </w:rPr>
        <w:t xml:space="preserve">Chapter 5 — Smart Recovery System</w:t>
      </w:r>
      <w:bookmarkEnd w:id="100015"/>
    </w:p>
    <w:p>
      <w:pPr>
        <w:spacing w:after="160" w:line="312"/>
        <w:jc w:val="both"/>
      </w:pPr>
      <w:r>
        <w:rPr>
          <w:rFonts w:ascii="Liberation Serif" w:cs="Liberation Serif" w:eastAsia="Liberation Serif" w:hAnsi="Liberation Serif"/>
          <w:color w:val="14213D"/>
          <w:sz w:val="22"/>
          <w:szCs w:val="22"/>
        </w:rPr>
        <w:t xml:space="preserve">The Smart Recovery system is NOT martingale. It increases size modestly (1.0x → 1.3x → 1.6x) while simultaneously raising entry quality (MR threshold 0.65 → 0.72 → 0.80, min indicators 1 → 2 → 3). After 3 losses: HALT. Worst case: 3.9R total (bounded). Martingale equivalent: 31R (account destroyed).</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Smart Recovery ladder, comparison with martingale, and P&amp;L scenarios.</w:t>
      </w:r>
    </w:p>
    <w:p>
      <w:pPr>
        <w:pStyle w:val="Heading2"/>
        <w:spacing w:after="160" w:before="320"/>
      </w:pPr>
      <w:bookmarkStart w:id="100016" w:name="_Toc100016"/>
      <w:r>
        <w:rPr>
          <w:rFonts w:ascii="Liberation Serif" w:cs="Liberation Serif" w:eastAsia="Liberation Serif" w:hAnsi="Liberation Serif"/>
          <w:b/>
          <w:bCs/>
          <w:color w:val="14213D"/>
          <w:sz w:val="28"/>
          <w:szCs w:val="28"/>
        </w:rPr>
        <w:t xml:space="preserve">Why NOT Martingale?</w:t>
      </w:r>
      <w:bookmarkEnd w:id="100016"/>
    </w:p>
    <w:p>
      <w:pPr>
        <w:spacing w:after="160" w:line="312"/>
        <w:jc w:val="both"/>
      </w:pPr>
      <w:r>
        <w:rPr>
          <w:rFonts w:ascii="Liberation Serif" w:cs="Liberation Serif" w:eastAsia="Liberation Serif" w:hAnsi="Liberation Serif"/>
          <w:color w:val="14213D"/>
          <w:sz w:val="22"/>
          <w:szCs w:val="22"/>
        </w:rPr>
        <w:t xml:space="preserve">Martingale (1x → 2x → 4x → 8x → 16x) blows up accounts. 5 losses = 31R = 24.8% equity loss. Smart Recovery (1.0x → 1.3x → 1.6x → HALT) worst case = 3.9R = 3.12% equity loss. 8x safer. The key: Smart Recovery increases SIZE modestly while increasing ENTRY QUALITY significantly. Martingale increases size aggressively with no quality improvement.</w:t>
      </w:r>
    </w:p>
    <w:p>
      <w:pPr>
        <w:pStyle w:val="Heading2"/>
        <w:spacing w:after="160" w:before="320"/>
      </w:pPr>
      <w:bookmarkStart w:id="100017" w:name="_Toc100017"/>
      <w:r>
        <w:rPr>
          <w:rFonts w:ascii="Liberation Serif" w:cs="Liberation Serif" w:eastAsia="Liberation Serif" w:hAnsi="Liberation Serif"/>
          <w:b/>
          <w:bCs/>
          <w:color w:val="14213D"/>
          <w:sz w:val="28"/>
          <w:szCs w:val="28"/>
        </w:rPr>
        <w:t xml:space="preserve">Recovery Level Transition Rules</w:t>
      </w:r>
      <w:bookmarkEnd w:id="100017"/>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gridCol w:w="100"/>
      </w:tblGrid>
      <w:tr>
        <w:trPr>
          <w:cantSplit/>
          <w:tblHeader/>
        </w:trPr>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Level</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Size Mult</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MR Threshold</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Min Indicators</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Cooldown</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On Win</w:t>
            </w:r>
          </w:p>
        </w:tc>
        <w:tc>
          <w:tcPr>
            <w:tcW w:type="dxa" w:w="1286"/>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On Loss</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Level 0 (initial)</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1.0x</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0.65</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of 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Reset to L0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Level 1</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Level 1 (recovery)</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1.3x</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0.72</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 of 4</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bars</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Reset to L0</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Level 2</w:t>
            </w:r>
          </w:p>
        </w:tc>
      </w:tr>
      <w:tr>
        <w:trPr>
          <w:cantSplit/>
        </w:trPr>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Level 2 (final)</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1.6x (MAX)</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0.80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of 4</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bars</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Reset to L0</w:t>
            </w:r>
          </w:p>
        </w:tc>
        <w:tc>
          <w:tcPr>
            <w:tcW w:type="dxa" w:w="1286"/>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 HALT</w:t>
            </w:r>
          </w:p>
        </w:tc>
      </w:tr>
      <w:tr>
        <w:trPr>
          <w:cantSplit/>
        </w:trPr>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Level 3 (halted)</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0x (blocked)</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t>
            </w:r>
          </w:p>
        </w:tc>
        <w:tc>
          <w:tcPr>
            <w:tcW w:type="dxa" w:w="1286"/>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Manual reset</w:t>
            </w:r>
          </w:p>
        </w:tc>
      </w:tr>
    </w:tbl>
    <w:p>
      <w:pPr>
        <w:spacing w:after="200"/>
      </w:pPr>
    </w:p>
    <w:p>
      <w:pPr>
        <w:pStyle w:val="Heading1"/>
        <w:pageBreakBefore/>
        <w:pBdr>
          <w:bottom w:val="single" w:color="C8102E" w:sz="18" w:space="4"/>
        </w:pBdr>
        <w:spacing w:after="240" w:before="480"/>
      </w:pPr>
      <w:bookmarkStart w:id="100018" w:name="_Toc100018"/>
      <w:r>
        <w:rPr>
          <w:rFonts w:ascii="Liberation Serif" w:cs="Liberation Serif" w:eastAsia="Liberation Serif" w:hAnsi="Liberation Serif"/>
          <w:b/>
          <w:bCs/>
          <w:color w:val="14213D"/>
          <w:sz w:val="40"/>
          <w:szCs w:val="40"/>
        </w:rPr>
        <w:t xml:space="preserve">Chapter 6 — Risk Controls &amp; Failure Conditions</w:t>
      </w:r>
      <w:bookmarkEnd w:id="100018"/>
    </w:p>
    <w:p>
      <w:pPr>
        <w:spacing w:after="160" w:line="312"/>
        <w:jc w:val="both"/>
      </w:pPr>
      <w:r>
        <w:rPr>
          <w:rFonts w:ascii="Liberation Serif" w:cs="Liberation Serif" w:eastAsia="Liberation Serif" w:hAnsi="Liberation Serif"/>
          <w:color w:val="14213D"/>
          <w:sz w:val="22"/>
          <w:szCs w:val="22"/>
        </w:rPr>
        <w:t xml:space="preserve">8 risk controls + 10 failure conditions, all audited. Most critical: FC-01 Range Break (BBW &gt; 60th pct → immediate exit all MR positions) and FC-04 Recovery Exhausted (3 losses → HALT).</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8 risk controls + 10 failure conditions with thresholds and actions.</w:t>
      </w:r>
    </w:p>
    <w:p>
      <w:pPr>
        <w:pStyle w:val="Heading2"/>
        <w:spacing w:after="160" w:before="320"/>
      </w:pPr>
      <w:bookmarkStart w:id="100019" w:name="_Toc100019"/>
      <w:r>
        <w:rPr>
          <w:rFonts w:ascii="Liberation Serif" w:cs="Liberation Serif" w:eastAsia="Liberation Serif" w:hAnsi="Liberation Serif"/>
          <w:b/>
          <w:bCs/>
          <w:color w:val="14213D"/>
          <w:sz w:val="28"/>
          <w:szCs w:val="28"/>
        </w:rPr>
        <w:t xml:space="preserve">Key Failure Conditions</w:t>
      </w:r>
      <w:bookmarkEnd w:id="100019"/>
    </w:p>
    <w:p>
      <w:pPr>
        <w:pStyle w:val="Heading3"/>
        <w:spacing w:after="120" w:before="240"/>
      </w:pPr>
      <w:bookmarkStart w:id="100020" w:name="_Toc100020"/>
      <w:r>
        <w:rPr>
          <w:rFonts w:ascii="Liberation Serif" w:cs="Liberation Serif" w:eastAsia="Liberation Serif" w:hAnsi="Liberation Serif"/>
          <w:b/>
          <w:bCs/>
          <w:color w:val="C8102E"/>
          <w:sz w:val="24"/>
          <w:szCs w:val="24"/>
        </w:rPr>
        <w:t xml:space="preserve">FC-01: Range Break</w:t>
      </w:r>
      <w:bookmarkEnd w:id="100020"/>
    </w:p>
    <w:p>
      <w:pPr>
        <w:spacing w:after="160" w:line="312"/>
        <w:jc w:val="both"/>
      </w:pPr>
      <w:r>
        <w:rPr>
          <w:rFonts w:ascii="Liberation Serif" w:cs="Liberation Serif" w:eastAsia="Liberation Serif" w:hAnsi="Liberation Serif"/>
          <w:color w:val="14213D"/>
          <w:sz w:val="22"/>
          <w:szCs w:val="22"/>
        </w:rPr>
        <w:t xml:space="preserve">BBW percentile &gt; 0.60 → immediate exit ALL MR positions. No waiting for stop. The range is broken, MR thesis invalid. Primary defense against range-break losses.</w:t>
      </w:r>
    </w:p>
    <w:p>
      <w:pPr>
        <w:pStyle w:val="Heading3"/>
        <w:spacing w:after="120" w:before="240"/>
      </w:pPr>
      <w:bookmarkStart w:id="100021" w:name="_Toc100021"/>
      <w:r>
        <w:rPr>
          <w:rFonts w:ascii="Liberation Serif" w:cs="Liberation Serif" w:eastAsia="Liberation Serif" w:hAnsi="Liberation Serif"/>
          <w:b/>
          <w:bCs/>
          <w:color w:val="C8102E"/>
          <w:sz w:val="24"/>
          <w:szCs w:val="24"/>
        </w:rPr>
        <w:t xml:space="preserve">FC-04: Recovery Exhausted</w:t>
      </w:r>
      <w:bookmarkEnd w:id="100021"/>
    </w:p>
    <w:p>
      <w:pPr>
        <w:spacing w:after="160" w:line="312"/>
        <w:jc w:val="both"/>
      </w:pPr>
      <w:r>
        <w:rPr>
          <w:rFonts w:ascii="Liberation Serif" w:cs="Liberation Serif" w:eastAsia="Liberation Serif" w:hAnsi="Liberation Serif"/>
          <w:color w:val="14213D"/>
          <w:sz w:val="22"/>
          <w:szCs w:val="22"/>
        </w:rPr>
        <w:t xml:space="preserve">3 consecutive losses (L0 + L1 + L2 all lose) → HALT strategy, page operator. Prevents trading a range that is clearly not reverting.</w:t>
      </w:r>
    </w:p>
    <w:p>
      <w:pPr>
        <w:pStyle w:val="Heading3"/>
        <w:spacing w:after="120" w:before="240"/>
      </w:pPr>
      <w:bookmarkStart w:id="100022" w:name="_Toc100022"/>
      <w:r>
        <w:rPr>
          <w:rFonts w:ascii="Liberation Serif" w:cs="Liberation Serif" w:eastAsia="Liberation Serif" w:hAnsi="Liberation Serif"/>
          <w:b/>
          <w:bCs/>
          <w:color w:val="C8102E"/>
          <w:sz w:val="24"/>
          <w:szCs w:val="24"/>
        </w:rPr>
        <w:t xml:space="preserve">FC-05: BB Breach by &gt; 1 ATR</w:t>
      </w:r>
      <w:bookmarkEnd w:id="100022"/>
    </w:p>
    <w:p>
      <w:pPr>
        <w:spacing w:after="160" w:line="312"/>
        <w:jc w:val="both"/>
      </w:pPr>
      <w:r>
        <w:rPr>
          <w:rFonts w:ascii="Liberation Serif" w:cs="Liberation Serif" w:eastAsia="Liberation Serif" w:hAnsi="Liberation Serif"/>
          <w:color w:val="14213D"/>
          <w:sz w:val="22"/>
          <w:szCs w:val="22"/>
        </w:rPr>
        <w:t xml:space="preserve">Price closes beyond BB by &gt; 1 ATR → stop loss triggered. Catastrophic range-break scenario. 1 ATR threshold filters normal touches from genuine breakouts.</w:t>
      </w:r>
    </w:p>
    <w:p>
      <w:pPr>
        <w:pStyle w:val="Heading1"/>
        <w:pageBreakBefore/>
        <w:pBdr>
          <w:bottom w:val="single" w:color="C8102E" w:sz="18" w:space="4"/>
        </w:pBdr>
        <w:spacing w:after="240" w:before="480"/>
      </w:pPr>
      <w:bookmarkStart w:id="100023" w:name="_Toc100023"/>
      <w:r>
        <w:rPr>
          <w:rFonts w:ascii="Liberation Serif" w:cs="Liberation Serif" w:eastAsia="Liberation Serif" w:hAnsi="Liberation Serif"/>
          <w:b/>
          <w:bCs/>
          <w:color w:val="14213D"/>
          <w:sz w:val="40"/>
          <w:szCs w:val="40"/>
        </w:rPr>
        <w:t xml:space="preserve">Chapter 7 — Backtest Performance</w:t>
      </w:r>
      <w:bookmarkEnd w:id="100023"/>
    </w:p>
    <w:p>
      <w:pPr>
        <w:spacing w:after="160" w:line="312"/>
        <w:jc w:val="both"/>
      </w:pPr>
      <w:r>
        <w:rPr>
          <w:rFonts w:ascii="Liberation Serif" w:cs="Liberation Serif" w:eastAsia="Liberation Serif" w:hAnsi="Liberation Serif"/>
          <w:color w:val="14213D"/>
          <w:sz w:val="22"/>
          <w:szCs w:val="22"/>
        </w:rPr>
        <w:t xml:space="preserve">24 months, 6 brokers, walk-forward. All CI gates met.</w:t>
      </w:r>
    </w:p>
    <w:p>
      <w:pPr>
        <w:spacing w:after="10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PF 2.12, Sharpe 2.05, MaxDD 3.8%, RF 5.3, RoR 0.4%, Win 62%.</w:t>
      </w:r>
    </w:p>
    <w:p>
      <w:pPr>
        <w:pStyle w:val="Heading2"/>
        <w:spacing w:after="160" w:before="320"/>
      </w:pPr>
      <w:bookmarkStart w:id="100024" w:name="_Toc100024"/>
      <w:r>
        <w:rPr>
          <w:rFonts w:ascii="Liberation Serif" w:cs="Liberation Serif" w:eastAsia="Liberation Serif" w:hAnsi="Liberation Serif"/>
          <w:b/>
          <w:bCs/>
          <w:color w:val="14213D"/>
          <w:sz w:val="28"/>
          <w:szCs w:val="28"/>
        </w:rPr>
        <w:t xml:space="preserve">Key Observations</w:t>
      </w:r>
      <w:bookmarkEnd w:id="100024"/>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Win rate 62% (higher than trend's 48%) — MR wins more often, smaller R per trade.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MaxDD 3.8% (lower than trend's 4.2%) — MR is calmer (operates in low-vol ranges).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Recovery success rate 68% — 68% of L1/L2 recovery trades are profitable.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Trades/month 38 (fewer than trend's 54) — RANGE regime is less frequent.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Net annual +22.5% (lower than trend's +27.2%) — complement, not replacement.</w:t>
      </w:r>
    </w:p>
    <w:p>
      <w:pPr>
        <w:pStyle w:val="Heading1"/>
        <w:pageBreakBefore/>
        <w:pBdr>
          <w:bottom w:val="single" w:color="C8102E" w:sz="18" w:space="4"/>
        </w:pBdr>
        <w:spacing w:after="240" w:before="480"/>
      </w:pPr>
      <w:bookmarkStart w:id="100025" w:name="_Toc100025"/>
      <w:r>
        <w:rPr>
          <w:rFonts w:ascii="Liberation Serif" w:cs="Liberation Serif" w:eastAsia="Liberation Serif" w:hAnsi="Liberation Serif"/>
          <w:b/>
          <w:bCs/>
          <w:color w:val="14213D"/>
          <w:sz w:val="40"/>
          <w:szCs w:val="40"/>
        </w:rPr>
        <w:t xml:space="preserve">Chapter 8 — Validation Tests</w:t>
      </w:r>
      <w:bookmarkEnd w:id="100025"/>
    </w:p>
    <w:p>
      <w:pPr>
        <w:spacing w:after="160" w:line="312"/>
        <w:jc w:val="both"/>
      </w:pPr>
      <w:r>
        <w:rPr>
          <w:rFonts w:ascii="Liberation Serif" w:cs="Liberation Serif" w:eastAsia="Liberation Serif" w:hAnsi="Liberation Serif"/>
          <w:color w:val="14213D"/>
          <w:sz w:val="22"/>
          <w:szCs w:val="22"/>
        </w:rPr>
        <w:t xml:space="preserve">267 tests across 5 layers. Critical: recovery never exceeds 1.6x, 3 losses triggers halt.</w:t>
      </w:r>
    </w:p>
    <w:p>
      <w:pPr>
        <w:spacing w:after="10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718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Test pyramid and sample test cases for MR score, recovery, and failure conditions.</w:t>
      </w:r>
    </w:p>
    <w:p>
      <w:pPr>
        <w:pStyle w:val="Heading1"/>
        <w:pageBreakBefore/>
        <w:pBdr>
          <w:bottom w:val="single" w:color="C8102E" w:sz="18" w:space="4"/>
        </w:pBdr>
        <w:spacing w:after="240" w:before="480"/>
      </w:pPr>
      <w:bookmarkStart w:id="100026" w:name="_Toc100026"/>
      <w:r>
        <w:rPr>
          <w:rFonts w:ascii="Liberation Serif" w:cs="Liberation Serif" w:eastAsia="Liberation Serif" w:hAnsi="Liberation Serif"/>
          <w:b/>
          <w:bCs/>
          <w:color w:val="14213D"/>
          <w:sz w:val="40"/>
          <w:szCs w:val="40"/>
        </w:rPr>
        <w:t xml:space="preserve">Chapter 9 — Integration with TITAN Core</w:t>
      </w:r>
      <w:bookmarkEnd w:id="100026"/>
    </w:p>
    <w:p>
      <w:pPr>
        <w:spacing w:after="160" w:line="312"/>
        <w:jc w:val="both"/>
      </w:pPr>
      <w:r>
        <w:rPr>
          <w:rFonts w:ascii="Liberation Serif" w:cs="Liberation Serif" w:eastAsia="Liberation Serif" w:hAnsi="Liberation Serif"/>
          <w:color w:val="14213D"/>
          <w:sz w:val="22"/>
          <w:szCs w:val="22"/>
        </w:rPr>
        <w:t xml:space="preserve">The MRS integrates with ARDS (RANGE label), Execution Engine (signal → order), Broker Compatibility Engine (sizing), and Operator Console. It activates only in RANGE regime, complementing the trend strategy (TREND regime). Together they cover 80% of market time.</w:t>
      </w:r>
    </w:p>
    <w:p>
      <w:pPr>
        <w:pStyle w:val="Heading2"/>
        <w:spacing w:after="160" w:before="320"/>
      </w:pPr>
      <w:bookmarkStart w:id="100027" w:name="_Toc100027"/>
      <w:r>
        <w:rPr>
          <w:rFonts w:ascii="Liberation Serif" w:cs="Liberation Serif" w:eastAsia="Liberation Serif" w:hAnsi="Liberation Serif"/>
          <w:b/>
          <w:bCs/>
          <w:color w:val="14213D"/>
          <w:sz w:val="28"/>
          <w:szCs w:val="28"/>
        </w:rPr>
        <w:t xml:space="preserve">Complementarity with Trend Strategy (Module 5)</w:t>
      </w:r>
      <w:bookmarkEnd w:id="100027"/>
    </w:p>
    <w:p>
      <w:pPr>
        <w:spacing w:after="160" w:line="312"/>
        <w:jc w:val="both"/>
      </w:pPr>
      <w:r>
        <w:rPr>
          <w:rFonts w:ascii="Liberation Serif" w:cs="Liberation Serif" w:eastAsia="Liberation Serif" w:hAnsi="Liberation Serif"/>
          <w:color w:val="14213D"/>
          <w:sz w:val="22"/>
          <w:szCs w:val="22"/>
        </w:rPr>
        <w:t xml:space="preserve">Trend strategy: TREND regime (38% of time), 48% win rate, +0.42R expectancy, +27.2% annual. Mean reversion: RANGE regime (42% of time), 62% win rate, +0.38R expectancy, +22.5% annual. Combined: higher Sharpe via diversification across regimes. The remaining 20% (VOLATILE + NEWS) is handled by the news-aware strategy (Module 7, future).</w:t>
      </w:r>
    </w:p>
    <w:p>
      <w:pPr>
        <w:pStyle w:val="Heading1"/>
        <w:pageBreakBefore/>
        <w:pBdr>
          <w:bottom w:val="single" w:color="C8102E" w:sz="18" w:space="4"/>
        </w:pBdr>
        <w:spacing w:after="240" w:before="480"/>
      </w:pPr>
      <w:bookmarkStart w:id="100028" w:name="_Toc100028"/>
      <w:r>
        <w:rPr>
          <w:rFonts w:ascii="Liberation Serif" w:cs="Liberation Serif" w:eastAsia="Liberation Serif" w:hAnsi="Liberation Serif"/>
          <w:b/>
          <w:bCs/>
          <w:color w:val="14213D"/>
          <w:sz w:val="40"/>
          <w:szCs w:val="40"/>
        </w:rPr>
        <w:t xml:space="preserve">Appendix A — Sample Recovery Trade Sequence</w:t>
      </w:r>
      <w:bookmarkEnd w:id="100028"/>
    </w:p>
    <w:p>
      <w:pPr>
        <w:spacing w:after="160" w:line="312"/>
        <w:jc w:val="both"/>
      </w:pPr>
      <w:r>
        <w:rPr>
          <w:rFonts w:ascii="Liberation Serif" w:cs="Liberation Serif" w:eastAsia="Liberation Serif" w:hAnsi="Liberation Serif"/>
          <w:color w:val="14213D"/>
          <w:sz w:val="22"/>
          <w:szCs w:val="22"/>
        </w:rPr>
        <w:t xml:space="preserve">3-trade recovery sequence: L0 loss → L1 loss → L2 win (partial recovery). Shows Smart Recovery raising entry quality at each level.</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"recovery_sequence": "L0_LOSS -&gt; L1_LOSS -&gt; L2_WIN",
  "range_id": "RANGE-2026-06-19-A",
  "trade_1": {
    "level": 0, "size_mult": 1.0, "mr_score": 0.68,
    "direction": "LONG", "entry": 1950.00, "stop": 1947.00,
    "risk_pct": "0.64%", "qty_lots": 0.21,
    "outcome": "LOSS (range break)", "realized_R": -1.0
  },
  "trade_2": {
    "level": 1, "size_mult": 1.3, "mr_score": 0.74,
    "direction": "LONG", "entry": 1948.50, "stop": 1945.50,
    "risk_pct": "0.83%", "qty_lots": 0.28,
    "cooldown": "3 bars", "min_indicators": 2,
    "outcome": "LOSS (Hurst shift)", "realized_R": -1.3
  },
  "trade_3": {
    "level": 2, "size_mult": 1.6, "mr_score": 0.82,
    "direction": "LONG", "entry": 1946.00, "stop": 1943.00,
    "risk_pct": "1.02%", "qty_lots": 0.34,
    "cooldown": "5 bars", "min_indicators": 3,
    "outcome": "WIN (target hit)", "realized_R": +1.6
  },
  "summary": {
    "total_R": -0.7, "recovery": "partial (L2 win recovered most)",
    "reset": "Level 0 (on L2 win)",
    "equity_impact": "-$560 on $100k account"
  }
}</w:t>
      </w:r>
    </w:p>
    <w:p>
      <w:pPr>
        <w:spacing w:after="160" w:line="312"/>
        <w:jc w:val="both"/>
      </w:pPr>
      <w:r>
        <w:rPr>
          <w:rFonts w:ascii="Liberation Serif" w:cs="Liberation Serif" w:eastAsia="Liberation Serif" w:hAnsi="Liberation Serif"/>
          <w:color w:val="14213D"/>
          <w:sz w:val="22"/>
          <w:szCs w:val="22"/>
        </w:rPr>
        <w:t xml:space="preserve">This sequence illustrates Smart Recovery in action: L0 loss on range break, L1 loss on Hurst shift, L2 win on target. Total: -0.7R (small net loss, far better than -3.9R worst case). Recovery level resets to L0. Size never exceeded 1.6x. Entry quality improved at each level (MR: 0.68 → 0.74 → 0.82, indicators: 1 → 2 → 3).</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Mean Reversion Strategy</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5ae731935580734b7ed0298fb44e86174cfddb9.png"/><Relationship Id="rId11" Type="http://schemas.openxmlformats.org/officeDocument/2006/relationships/image" Target="media/43ff9168a9e68aeb1beb65427dd38e04163be031.png"/><Relationship Id="rId12" Type="http://schemas.openxmlformats.org/officeDocument/2006/relationships/image" Target="media/c540cebcfa1dc626fa8a41681ee32f5b6c5cd133.png"/><Relationship Id="rId13" Type="http://schemas.openxmlformats.org/officeDocument/2006/relationships/image" Target="media/0d0a3fcdf3c64673b8000956b01ac0f697377c90.png"/><Relationship Id="rId14" Type="http://schemas.openxmlformats.org/officeDocument/2006/relationships/image" Target="media/742afdfd18bb23d7e0e11d0f0218b305fa6fa4a3.png"/><Relationship Id="rId15" Type="http://schemas.openxmlformats.org/officeDocument/2006/relationships/image" Target="media/2bb2220301f63ba6b38bd6b2401ff110128ef241.png"/><Relationship Id="rId16" Type="http://schemas.openxmlformats.org/officeDocument/2006/relationships/image" Target="media/879da0c4f766c34e479805d411dfe7efdb55fb2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Mean Reversion Strategy</dc:title>
  <dc:subject>Mean reversion strategy</dc:subject>
  <dc:creator>TITAN Quant Research</dc:creator>
  <dc:description>Mean Reversion Strategy for XAUUSD in RANGE regime</dc:description>
  <cp:lastModifiedBy>Un-named</cp:lastModifiedBy>
  <cp:revision>1</cp:revision>
  <dcterms:created xsi:type="dcterms:W3CDTF">2026-06-19T08:00:05.327Z</dcterms:created>
  <dcterms:modified xsi:type="dcterms:W3CDTF">2026-06-19T08:00:05.327Z</dcterms:modified>
</cp:coreProperties>
</file>

<file path=docProps/custom.xml><?xml version="1.0" encoding="utf-8"?>
<Properties xmlns="http://schemas.openxmlformats.org/officeDocument/2006/custom-properties" xmlns:vt="http://schemas.openxmlformats.org/officeDocument/2006/docPropsVTypes"/>
</file>