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57347"/>
          <w:spacing w:val="60"/>
          <w:sz w:val="20"/>
          <w:szCs w:val="20"/>
        </w:rPr>
        <w:t xml:space="preserve">PROJECT TA</w:t>
      </w:r>
    </w:p>
    <w:p>
      <w:pPr>
        <w:pBdr>
          <w:bottom w:val="single" w:color="0F5132" w:sz="18" w:space="8"/>
        </w:pBdr>
        <w:spacing w:after="60"/>
      </w:pPr>
      <w:r>
        <w:rPr>
          <w:rFonts w:ascii="Calibri" w:cs="Calibri" w:eastAsia="Calibri" w:hAnsi="Calibri"/>
          <w:b/>
          <w:bCs/>
          <w:color w:val="1B2721"/>
          <w:sz w:val="44"/>
          <w:szCs w:val="44"/>
        </w:rPr>
        <w:t xml:space="preserve">Market and Competitor Analysis</w:t>
      </w:r>
    </w:p>
    <w:p>
      <w:pPr>
        <w:spacing w:after="200"/>
      </w:pPr>
    </w:p>
    <w:tbl>
      <w:tblPr>
        <w:tblW w:type="dxa" w:w="9638"/>
        <w:tblBorders>
          <w:top w:val="single" w:color="CFDED6" w:sz="2"/>
          <w:left w:val="none" w:color="auto" w:sz="0"/>
          <w:bottom w:val="single" w:color="CFDED6" w:sz="2"/>
          <w:right w:val="none" w:color="auto" w:sz="0"/>
          <w:insideH w:val="single" w:color="CFDED6" w:sz="2"/>
          <w:insideV w:val="none" w:color="auto" w:sz="0"/>
        </w:tblBorders>
      </w:tblPr>
      <w:tblGrid>
        <w:gridCol w:w="2600"/>
        <w:gridCol w:w="7038"/>
      </w:tblGrid>
      <w:tr>
        <w:tc>
          <w:tcPr>
            <w:tcW w:type="dxa" w:w="2600"/>
            <w:tcMar>
              <w:top w:type="dxa" w:w="70"/>
              <w:left w:type="dxa" w:w="110"/>
              <w:bottom w:type="dxa" w:w="70"/>
              <w:right w:type="dxa" w:w="110"/>
            </w:tcMar>
          </w:tcPr>
          <w:p>
            <w:pPr>
              <w:spacing w:after="0" w:line="240"/>
            </w:pPr>
            <w:r>
              <w:rPr>
                <w:rFonts w:ascii="Calibri" w:cs="Calibri" w:eastAsia="Calibri" w:hAnsi="Calibri"/>
                <w:b/>
                <w:bCs/>
                <w:color w:val="5C6B63"/>
                <w:sz w:val="19"/>
                <w:szCs w:val="19"/>
              </w:rPr>
              <w:t xml:space="preserve">Date</w:t>
            </w:r>
          </w:p>
        </w:tc>
        <w:tc>
          <w:tcPr>
            <w:tcW w:type="dxa" w:w="7038"/>
            <w:tcMar>
              <w:top w:type="dxa" w:w="70"/>
              <w:left w:type="dxa" w:w="110"/>
              <w:bottom w:type="dxa" w:w="70"/>
              <w:right w:type="dxa" w:w="110"/>
            </w:tcMar>
          </w:tcPr>
          <w:p>
            <w:pPr>
              <w:spacing w:after="0" w:line="240"/>
            </w:pPr>
            <w:r>
              <w:rPr>
                <w:rFonts w:ascii="Calibri" w:cs="Calibri" w:eastAsia="Calibri" w:hAnsi="Calibri"/>
                <w:color w:val="1B2721"/>
                <w:sz w:val="19"/>
                <w:szCs w:val="19"/>
              </w:rPr>
              <w:t xml:space="preserve">28 August 2026</w:t>
            </w:r>
          </w:p>
        </w:tc>
      </w:tr>
      <w:tr>
        <w:tc>
          <w:tcPr>
            <w:tcW w:type="dxa" w:w="2600"/>
            <w:tcMar>
              <w:top w:type="dxa" w:w="70"/>
              <w:left w:type="dxa" w:w="110"/>
              <w:bottom w:type="dxa" w:w="70"/>
              <w:right w:type="dxa" w:w="110"/>
            </w:tcMar>
          </w:tcPr>
          <w:p>
            <w:pPr>
              <w:spacing w:after="0" w:line="240"/>
            </w:pPr>
            <w:r>
              <w:rPr>
                <w:rFonts w:ascii="Calibri" w:cs="Calibri" w:eastAsia="Calibri" w:hAnsi="Calibri"/>
                <w:b/>
                <w:bCs/>
                <w:color w:val="5C6B63"/>
                <w:sz w:val="19"/>
                <w:szCs w:val="19"/>
              </w:rPr>
              <w:t xml:space="preserve">Prepared by</w:t>
            </w:r>
          </w:p>
        </w:tc>
        <w:tc>
          <w:tcPr>
            <w:tcW w:type="dxa" w:w="7038"/>
            <w:tcMar>
              <w:top w:type="dxa" w:w="70"/>
              <w:left w:type="dxa" w:w="110"/>
              <w:bottom w:type="dxa" w:w="70"/>
              <w:right w:type="dxa" w:w="110"/>
            </w:tcMar>
          </w:tcPr>
          <w:p>
            <w:pPr>
              <w:spacing w:after="0" w:line="240"/>
            </w:pPr>
            <w:r>
              <w:rPr>
                <w:rFonts w:ascii="Calibri" w:cs="Calibri" w:eastAsia="Calibri" w:hAnsi="Calibri"/>
                <w:color w:val="1B2721"/>
                <w:sz w:val="19"/>
                <w:szCs w:val="19"/>
              </w:rPr>
              <w:t xml:space="preserve">Ismail Mansur</w:t>
            </w:r>
          </w:p>
        </w:tc>
      </w:tr>
      <w:tr>
        <w:tc>
          <w:tcPr>
            <w:tcW w:type="dxa" w:w="2600"/>
            <w:tcMar>
              <w:top w:type="dxa" w:w="70"/>
              <w:left w:type="dxa" w:w="110"/>
              <w:bottom w:type="dxa" w:w="70"/>
              <w:right w:type="dxa" w:w="110"/>
            </w:tcMar>
          </w:tcPr>
          <w:p>
            <w:pPr>
              <w:spacing w:after="0" w:line="240"/>
            </w:pPr>
            <w:r>
              <w:rPr>
                <w:rFonts w:ascii="Calibri" w:cs="Calibri" w:eastAsia="Calibri" w:hAnsi="Calibri"/>
                <w:b/>
                <w:bCs/>
                <w:color w:val="5C6B63"/>
                <w:sz w:val="19"/>
                <w:szCs w:val="19"/>
              </w:rPr>
              <w:t xml:space="preserve">Classification</w:t>
            </w:r>
          </w:p>
        </w:tc>
        <w:tc>
          <w:tcPr>
            <w:tcW w:type="dxa" w:w="7038"/>
            <w:tcMar>
              <w:top w:type="dxa" w:w="70"/>
              <w:left w:type="dxa" w:w="110"/>
              <w:bottom w:type="dxa" w:w="70"/>
              <w:right w:type="dxa" w:w="110"/>
            </w:tcMar>
          </w:tcPr>
          <w:p>
            <w:pPr>
              <w:spacing w:after="0" w:line="240"/>
            </w:pPr>
            <w:r>
              <w:rPr>
                <w:rFonts w:ascii="Calibri" w:cs="Calibri" w:eastAsia="Calibri" w:hAnsi="Calibri"/>
                <w:color w:val="1B2721"/>
                <w:sz w:val="19"/>
                <w:szCs w:val="19"/>
              </w:rPr>
              <w:t xml:space="preserve">Internal — commercial in confidence</w:t>
            </w:r>
          </w:p>
        </w:tc>
      </w:tr>
      <w:tr>
        <w:tc>
          <w:tcPr>
            <w:tcW w:type="dxa" w:w="2600"/>
            <w:tcMar>
              <w:top w:type="dxa" w:w="70"/>
              <w:left w:type="dxa" w:w="110"/>
              <w:bottom w:type="dxa" w:w="70"/>
              <w:right w:type="dxa" w:w="110"/>
            </w:tcMar>
          </w:tcPr>
          <w:p>
            <w:pPr>
              <w:spacing w:after="0" w:line="240"/>
            </w:pPr>
            <w:r>
              <w:rPr>
                <w:rFonts w:ascii="Calibri" w:cs="Calibri" w:eastAsia="Calibri" w:hAnsi="Calibri"/>
                <w:b/>
                <w:bCs/>
                <w:color w:val="5C6B63"/>
                <w:sz w:val="19"/>
                <w:szCs w:val="19"/>
              </w:rPr>
              <w:t xml:space="preserve">Decision sought</w:t>
            </w:r>
          </w:p>
        </w:tc>
        <w:tc>
          <w:tcPr>
            <w:tcW w:type="dxa" w:w="7038"/>
            <w:tcMar>
              <w:top w:type="dxa" w:w="70"/>
              <w:left w:type="dxa" w:w="110"/>
              <w:bottom w:type="dxa" w:w="70"/>
              <w:right w:type="dxa" w:w="110"/>
            </w:tcMar>
          </w:tcPr>
          <w:p>
            <w:pPr>
              <w:spacing w:after="0" w:line="240"/>
            </w:pPr>
            <w:r>
              <w:rPr>
                <w:rFonts w:ascii="Calibri" w:cs="Calibri" w:eastAsia="Calibri" w:hAnsi="Calibri"/>
                <w:color w:val="1B2721"/>
                <w:sz w:val="19"/>
                <w:szCs w:val="19"/>
              </w:rPr>
              <w:t xml:space="preserve">Approval to proceed to a funded pilot</w:t>
            </w:r>
          </w:p>
        </w:tc>
      </w:tr>
    </w:tbl>
    <w:p>
      <w:pPr>
        <w:spacing w:after="200"/>
      </w:pPr>
    </w:p>
    <w:tbl>
      <w:tblPr>
        <w:tblW w:type="dxa" w:w="9638"/>
        <w:tblBorders>
          <w:top w:val="single" w:color="CFDED6" w:sz="4"/>
          <w:left w:val="single" w:color="157347" w:sz="18"/>
          <w:bottom w:val="single" w:color="CFDED6" w:sz="4"/>
          <w:right w:val="single" w:color="CFDED6" w:sz="4"/>
          <w:insideH w:val="none" w:color="auto" w:sz="0"/>
          <w:insideV w:val="none" w:color="auto" w:sz="0"/>
        </w:tblBorders>
      </w:tblPr>
      <w:tblGrid>
        <w:gridCol w:w="9638"/>
      </w:tblGrid>
      <w:tr>
        <w:tc>
          <w:tcPr>
            <w:tcW w:type="dxa" w:w="9638"/>
            <w:shd w:fill="F5F9F7" w:color="auto" w:val="clear"/>
            <w:tcMar>
              <w:top w:type="dxa" w:w="140"/>
              <w:left w:type="dxa" w:w="180"/>
              <w:bottom w:type="dxa" w:w="140"/>
              <w:right w:type="dxa" w:w="180"/>
            </w:tcMar>
          </w:tcPr>
          <w:p>
            <w:pPr>
              <w:spacing w:after="0" w:line="276"/>
            </w:pPr>
            <w:r>
              <w:rPr>
                <w:rFonts w:ascii="Calibri" w:cs="Calibri" w:eastAsia="Calibri" w:hAnsi="Calibri"/>
                <w:b/>
                <w:bCs/>
                <w:color w:val="1B2721"/>
                <w:sz w:val="20"/>
                <w:szCs w:val="20"/>
              </w:rPr>
              <w:t xml:space="preserve">A note on currency. </w:t>
            </w:r>
            <w:r>
              <w:rPr>
                <w:rFonts w:ascii="Calibri" w:cs="Calibri" w:eastAsia="Calibri" w:hAnsi="Calibri"/>
                <w:color w:val="5C6B63"/>
                <w:sz w:val="20"/>
                <w:szCs w:val="20"/>
              </w:rPr>
              <w:t xml:space="preserve">This is a UK business serving UK students, so every figure in this paper is stated in pounds sterling. Where a source reported in another currency, the figure has been converted at £1 ≈ $1.27 and is marked as approximate. Original figures are available on request.</w:t>
            </w:r>
          </w:p>
        </w:tc>
      </w:tr>
    </w:tbl>
    <w:p>
      <w:pPr>
        <w:spacing w:after="200"/>
      </w:pPr>
    </w:p>
    <w:p>
      <w:pPr>
        <w:pStyle w:val="Heading1"/>
        <w:pBdr>
          <w:bottom w:val="single" w:color="CFDED6" w:sz="6" w:space="6"/>
        </w:pBdr>
        <w:spacing w:after="160" w:before="380"/>
      </w:pPr>
      <w:r>
        <w:rPr>
          <w:rFonts w:ascii="Calibri" w:cs="Calibri" w:eastAsia="Calibri" w:hAnsi="Calibri"/>
          <w:b/>
          <w:bCs/>
          <w:color w:val="0F5132"/>
          <w:sz w:val="26"/>
          <w:szCs w:val="26"/>
        </w:rPr>
        <w:t xml:space="preserve">1. Purpose</w:t>
      </w:r>
    </w:p>
    <w:p>
      <w:pPr>
        <w:spacing w:after="140" w:line="276"/>
      </w:pPr>
      <w:r>
        <w:rPr>
          <w:rFonts w:ascii="Calibri" w:cs="Calibri" w:eastAsia="Calibri" w:hAnsi="Calibri"/>
          <w:color w:val="1B2721"/>
          <w:sz w:val="21"/>
          <w:szCs w:val="21"/>
        </w:rPr>
        <w:t xml:space="preserve">This paper sets out the market Project TA proposes to enter, assesses the competitive field, and makes five recommendations that materially change the product as originally conceived. It is intended to support a decision on whether to proceed to a funded pilot.</w:t>
      </w:r>
    </w:p>
    <w:p>
      <w:pPr>
        <w:pStyle w:val="Heading1"/>
        <w:pBdr>
          <w:bottom w:val="single" w:color="CFDED6" w:sz="6" w:space="6"/>
        </w:pBdr>
        <w:spacing w:after="160" w:before="380"/>
      </w:pPr>
      <w:r>
        <w:rPr>
          <w:rFonts w:ascii="Calibri" w:cs="Calibri" w:eastAsia="Calibri" w:hAnsi="Calibri"/>
          <w:b/>
          <w:bCs/>
          <w:color w:val="0F5132"/>
          <w:sz w:val="26"/>
          <w:szCs w:val="26"/>
        </w:rPr>
        <w:t xml:space="preserve">2. Executive summary</w:t>
      </w:r>
    </w:p>
    <w:p>
      <w:pPr>
        <w:spacing w:after="140" w:line="276"/>
      </w:pPr>
      <w:r>
        <w:rPr>
          <w:rFonts w:ascii="Calibri" w:cs="Calibri" w:eastAsia="Calibri" w:hAnsi="Calibri"/>
          <w:color w:val="1B2721"/>
          <w:sz w:val="21"/>
          <w:szCs w:val="21"/>
        </w:rPr>
        <w:t xml:space="preserve">The proposition — a student submits a question and pays for a fixed block of tutoring time; every qualified tutor is notified with the fee, the topic and the duration; the first to accept delivers the session over chat and a shared whiteboard — is not novel. It has been executed at scale, and several well-capitalised attempts have since failed. That history is instructive rather than disqualifying.</w:t>
      </w:r>
    </w:p>
    <w:p>
      <w:pPr>
        <w:pBdr>
          <w:left w:val="single" w:color="157347" w:sz="12" w:space="10"/>
        </w:pBdr>
        <w:spacing w:after="50" w:before="180" w:line="276"/>
        <w:ind w:left="200"/>
      </w:pPr>
      <w:r>
        <w:rPr>
          <w:rFonts w:ascii="Calibri" w:cs="Calibri" w:eastAsia="Calibri" w:hAnsi="Calibri"/>
          <w:b/>
          <w:bCs/>
          <w:color w:val="0F5132"/>
          <w:sz w:val="21"/>
          <w:szCs w:val="21"/>
        </w:rPr>
        <w:t xml:space="preserve">Finding 1 — The mechanic is proven</w:t>
      </w:r>
    </w:p>
    <w:p>
      <w:pPr>
        <w:pBdr>
          <w:left w:val="single" w:color="157347" w:sz="12" w:space="10"/>
        </w:pBdr>
        <w:spacing w:after="60" w:line="276"/>
        <w:ind w:left="200"/>
      </w:pPr>
      <w:r>
        <w:rPr>
          <w:rFonts w:ascii="Calibri" w:cs="Calibri" w:eastAsia="Calibri" w:hAnsi="Calibri"/>
          <w:color w:val="1B2721"/>
          <w:sz w:val="21"/>
          <w:szCs w:val="21"/>
        </w:rPr>
        <w:t xml:space="preserve">Snapask reached approximately 3.2 million students and 350,000 tutors across eight Asian markets on precisely this model.</w:t>
      </w:r>
    </w:p>
    <w:p>
      <w:pPr>
        <w:pBdr>
          <w:left w:val="single" w:color="157347" w:sz="12" w:space="10"/>
        </w:pBdr>
        <w:spacing w:after="50" w:before="180" w:line="276"/>
        <w:ind w:left="200"/>
      </w:pPr>
      <w:r>
        <w:rPr>
          <w:rFonts w:ascii="Calibri" w:cs="Calibri" w:eastAsia="Calibri" w:hAnsi="Calibri"/>
          <w:b/>
          <w:bCs/>
          <w:color w:val="0F5132"/>
          <w:sz w:val="21"/>
          <w:szCs w:val="21"/>
        </w:rPr>
        <w:t xml:space="preserve">Finding 2 — The economics, not the mechanic, are what fail</w:t>
      </w:r>
    </w:p>
    <w:p>
      <w:pPr>
        <w:pBdr>
          <w:left w:val="single" w:color="157347" w:sz="12" w:space="10"/>
        </w:pBdr>
        <w:spacing w:after="60" w:line="276"/>
        <w:ind w:left="200"/>
      </w:pPr>
      <w:r>
        <w:rPr>
          <w:rFonts w:ascii="Calibri" w:cs="Calibri" w:eastAsia="Calibri" w:hAnsi="Calibri"/>
          <w:color w:val="1B2721"/>
          <w:sz w:val="21"/>
          <w:szCs w:val="21"/>
        </w:rPr>
        <w:t xml:space="preserve">Yup operated an almost identical product, raised approximately £18.5m, and ceased operations in February 2025. The most frequently cited cause is tutor remuneration of roughly £8 per hour, a rate that cannot retain numerate graduates.</w:t>
      </w:r>
    </w:p>
    <w:p>
      <w:pPr>
        <w:pBdr>
          <w:left w:val="single" w:color="157347" w:sz="12" w:space="10"/>
        </w:pBdr>
        <w:spacing w:after="50" w:before="180" w:line="276"/>
        <w:ind w:left="200"/>
      </w:pPr>
      <w:r>
        <w:rPr>
          <w:rFonts w:ascii="Calibri" w:cs="Calibri" w:eastAsia="Calibri" w:hAnsi="Calibri"/>
          <w:b/>
          <w:bCs/>
          <w:color w:val="0F5132"/>
          <w:sz w:val="21"/>
          <w:szCs w:val="21"/>
        </w:rPr>
        <w:t xml:space="preserve">Finding 3 — The market for answers has been destroyed</w:t>
      </w:r>
    </w:p>
    <w:p>
      <w:pPr>
        <w:pBdr>
          <w:left w:val="single" w:color="157347" w:sz="12" w:space="10"/>
        </w:pBdr>
        <w:spacing w:after="60" w:line="276"/>
        <w:ind w:left="200"/>
      </w:pPr>
      <w:r>
        <w:rPr>
          <w:rFonts w:ascii="Calibri" w:cs="Calibri" w:eastAsia="Calibri" w:hAnsi="Calibri"/>
          <w:color w:val="1B2721"/>
          <w:sz w:val="21"/>
          <w:szCs w:val="21"/>
        </w:rPr>
        <w:t xml:space="preserve">Chegg's market capitalisation fell from approximately £11.6bn in February 2021 to approximately £90m, with a 31% year-on-year subscriber decline and a 45% headcount reduction in October 2025. Any proposition whose value is the answer itself now competes with a free substitute.</w:t>
      </w:r>
    </w:p>
    <w:p>
      <w:pPr>
        <w:pBdr>
          <w:left w:val="single" w:color="157347" w:sz="12" w:space="10"/>
        </w:pBdr>
        <w:spacing w:after="50" w:before="180" w:line="276"/>
        <w:ind w:left="200"/>
      </w:pPr>
      <w:r>
        <w:rPr>
          <w:rFonts w:ascii="Calibri" w:cs="Calibri" w:eastAsia="Calibri" w:hAnsi="Calibri"/>
          <w:b/>
          <w:bCs/>
          <w:color w:val="0F5132"/>
          <w:sz w:val="21"/>
          <w:szCs w:val="21"/>
        </w:rPr>
        <w:t xml:space="preserve">Finding 4 — The defensible product is a verified human who will not simply provide the answer</w:t>
      </w:r>
    </w:p>
    <w:p>
      <w:pPr>
        <w:pBdr>
          <w:left w:val="single" w:color="157347" w:sz="12" w:space="10"/>
        </w:pBdr>
        <w:spacing w:after="60" w:line="276"/>
        <w:ind w:left="200"/>
      </w:pPr>
      <w:r>
        <w:rPr>
          <w:rFonts w:ascii="Calibri" w:cs="Calibri" w:eastAsia="Calibri" w:hAnsi="Calibri"/>
          <w:color w:val="1B2721"/>
          <w:sz w:val="21"/>
          <w:szCs w:val="21"/>
        </w:rPr>
        <w:t xml:space="preserve">This is the single capability a general-purpose AI assistant cannot offer, and the one Chegg lost.</w:t>
      </w:r>
    </w:p>
    <w:p>
      <w:pPr>
        <w:pBdr>
          <w:left w:val="single" w:color="157347" w:sz="12" w:space="10"/>
        </w:pBdr>
        <w:spacing w:after="50" w:before="180" w:line="276"/>
        <w:ind w:left="200"/>
      </w:pPr>
      <w:r>
        <w:rPr>
          <w:rFonts w:ascii="Calibri" w:cs="Calibri" w:eastAsia="Calibri" w:hAnsi="Calibri"/>
          <w:b/>
          <w:bCs/>
          <w:color w:val="0F5132"/>
          <w:sz w:val="21"/>
          <w:szCs w:val="21"/>
        </w:rPr>
        <w:t xml:space="preserve">Finding 5 — In the UK, safeguarding is the barrier to entry and the differentiator</w:t>
      </w:r>
    </w:p>
    <w:p>
      <w:pPr>
        <w:pBdr>
          <w:left w:val="single" w:color="157347" w:sz="12" w:space="10"/>
        </w:pBdr>
        <w:spacing w:after="60" w:line="276"/>
        <w:ind w:left="200"/>
      </w:pPr>
      <w:r>
        <w:rPr>
          <w:rFonts w:ascii="Calibri" w:cs="Calibri" w:eastAsia="Calibri" w:hAnsi="Calibri"/>
          <w:color w:val="1B2721"/>
          <w:sz w:val="21"/>
          <w:szCs w:val="21"/>
        </w:rPr>
        <w:t xml:space="preserve">UK GDPR, the ICO Age Appropriate Design Code and the Online Safety Act 2023 impose substantial obligations on a service that puts adults and children in direct conversation. This is a genuine cost. It is also a barrier a small competitor cannot trivially replicate, and it is what parents actually purchase.</w:t>
      </w:r>
    </w:p>
    <w:p>
      <w:pPr>
        <w:spacing w:after="160"/>
      </w:pPr>
    </w:p>
    <w:tbl>
      <w:tblPr>
        <w:tblW w:type="dxa" w:w="9638"/>
        <w:tblBorders>
          <w:top w:val="single" w:color="E6D3AC" w:sz="4"/>
          <w:left w:val="single" w:color="C98A1B" w:sz="18"/>
          <w:bottom w:val="single" w:color="E6D3AC" w:sz="4"/>
          <w:right w:val="single" w:color="E6D3AC" w:sz="4"/>
          <w:insideH w:val="none" w:color="auto" w:sz="0"/>
          <w:insideV w:val="none" w:color="auto" w:sz="0"/>
        </w:tblBorders>
      </w:tblPr>
      <w:tblGrid>
        <w:gridCol w:w="9638"/>
      </w:tblGrid>
      <w:tr>
        <w:tc>
          <w:tcPr>
            <w:tcW w:type="dxa" w:w="9638"/>
            <w:shd w:fill="FDF6E9" w:color="auto" w:val="clear"/>
            <w:tcMar>
              <w:top w:type="dxa" w:w="140"/>
              <w:left w:type="dxa" w:w="180"/>
              <w:bottom w:type="dxa" w:w="140"/>
              <w:right w:type="dxa" w:w="180"/>
            </w:tcMar>
          </w:tcPr>
          <w:p>
            <w:pPr>
              <w:spacing w:after="0" w:line="276"/>
            </w:pPr>
            <w:r>
              <w:rPr>
                <w:rFonts w:ascii="Calibri" w:cs="Calibri" w:eastAsia="Calibri" w:hAnsi="Calibri"/>
                <w:b/>
                <w:bCs/>
                <w:color w:val="6B4708"/>
                <w:sz w:val="21"/>
                <w:szCs w:val="21"/>
              </w:rPr>
              <w:t xml:space="preserve">Principal commercial risk. </w:t>
            </w:r>
            <w:r>
              <w:rPr>
                <w:rFonts w:ascii="Calibri" w:cs="Calibri" w:eastAsia="Calibri" w:hAnsi="Calibri"/>
                <w:color w:val="6B4708"/>
                <w:sz w:val="21"/>
                <w:szCs w:val="21"/>
              </w:rPr>
              <w:t xml:space="preserve">The model as originally conceived charges a flat fee for fifteen minutes of an undergraduate's time, in a market where the answer is available at no cost, to an audience that largely does not control a payment instrument. Sections 7 and 8 address each element of that risk.</w:t>
            </w:r>
          </w:p>
        </w:tc>
      </w:tr>
    </w:tbl>
    <w:p>
      <w:pPr>
        <w:pStyle w:val="Heading1"/>
        <w:pBdr>
          <w:bottom w:val="single" w:color="CFDED6" w:sz="6" w:space="6"/>
        </w:pBdr>
        <w:spacing w:after="160" w:before="380"/>
      </w:pPr>
      <w:r>
        <w:rPr>
          <w:rFonts w:ascii="Calibri" w:cs="Calibri" w:eastAsia="Calibri" w:hAnsi="Calibri"/>
          <w:b/>
          <w:bCs/>
          <w:color w:val="0F5132"/>
          <w:sz w:val="26"/>
          <w:szCs w:val="26"/>
        </w:rPr>
        <w:t xml:space="preserve">3. Market context</w:t>
      </w:r>
    </w:p>
    <w:tbl>
      <w:tblPr>
        <w:tblW w:type="dxa" w:w="9638"/>
        <w:tblBorders>
          <w:top w:val="single" w:color="CFDED6" w:sz="2"/>
          <w:left w:val="none" w:color="auto" w:sz="0"/>
          <w:bottom w:val="single" w:color="CFDED6" w:sz="2"/>
          <w:right w:val="none" w:color="auto" w:sz="0"/>
          <w:insideH w:val="single" w:color="CFDED6" w:sz="2"/>
          <w:insideV w:val="none" w:color="auto" w:sz="0"/>
        </w:tblBorders>
      </w:tblPr>
      <w:tblGrid>
        <w:gridCol w:w="6000"/>
        <w:gridCol w:w="3638"/>
      </w:tblGrid>
      <w:tr>
        <w:trPr>
          <w:tblHeader/>
        </w:trPr>
        <w:tc>
          <w:tcPr>
            <w:tcW w:type="dxa" w:w="6000"/>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9"/>
                <w:szCs w:val="19"/>
              </w:rPr>
              <w:t xml:space="preserve">Metric</w:t>
            </w:r>
          </w:p>
        </w:tc>
        <w:tc>
          <w:tcPr>
            <w:tcW w:type="dxa" w:w="3638"/>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9"/>
                <w:szCs w:val="19"/>
              </w:rPr>
              <w:t xml:space="preserve">Figure</w:t>
            </w:r>
          </w:p>
        </w:tc>
      </w:tr>
      <w:tr>
        <w:trPr>
          <w:tblHeader w:val="false"/>
        </w:trPr>
        <w:tc>
          <w:tcPr>
            <w:tcW w:type="dxa" w:w="6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UK K-12 online tutoring market growth, 2025–2030</w:t>
            </w:r>
          </w:p>
        </w:tc>
        <w:tc>
          <w:tcPr>
            <w:tcW w:type="dxa" w:w="36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approx. +£12.6bn, 17.2% CAGR</w:t>
            </w:r>
          </w:p>
        </w:tc>
      </w:tr>
      <w:tr>
        <w:trPr>
          <w:tblHeader w:val="false"/>
        </w:trPr>
        <w:tc>
          <w:tcPr>
            <w:tcW w:type="dxa" w:w="6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Global edtech venture funding, 2021</w:t>
            </w:r>
          </w:p>
        </w:tc>
        <w:tc>
          <w:tcPr>
            <w:tcW w:type="dxa" w:w="36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approx. £4.6bn</w:t>
            </w:r>
          </w:p>
        </w:tc>
      </w:tr>
      <w:tr>
        <w:trPr>
          <w:tblHeader w:val="false"/>
        </w:trPr>
        <w:tc>
          <w:tcPr>
            <w:tcW w:type="dxa" w:w="6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Global edtech venture funding, 2023</w:t>
            </w:r>
          </w:p>
        </w:tc>
        <w:tc>
          <w:tcPr>
            <w:tcW w:type="dxa" w:w="36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approx. £560m (−87%)</w:t>
            </w:r>
          </w:p>
        </w:tc>
      </w:tr>
      <w:tr>
        <w:trPr>
          <w:tblHeader w:val="false"/>
        </w:trPr>
        <w:tc>
          <w:tcPr>
            <w:tcW w:type="dxa" w:w="6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Chegg market capitalisation, February 2021</w:t>
            </w:r>
          </w:p>
        </w:tc>
        <w:tc>
          <w:tcPr>
            <w:tcW w:type="dxa" w:w="36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approx. £11.6bn</w:t>
            </w:r>
          </w:p>
        </w:tc>
      </w:tr>
      <w:tr>
        <w:trPr>
          <w:tblHeader w:val="false"/>
        </w:trPr>
        <w:tc>
          <w:tcPr>
            <w:tcW w:type="dxa" w:w="6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Chegg market capitalisation, 2026</w:t>
            </w:r>
          </w:p>
        </w:tc>
        <w:tc>
          <w:tcPr>
            <w:tcW w:type="dxa" w:w="36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approx. £90m</w:t>
            </w:r>
          </w:p>
        </w:tc>
      </w:tr>
      <w:tr>
        <w:trPr>
          <w:tblHeader w:val="false"/>
        </w:trPr>
        <w:tc>
          <w:tcPr>
            <w:tcW w:type="dxa" w:w="6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Chegg subscribers, Q1 2025</w:t>
            </w:r>
          </w:p>
        </w:tc>
        <w:tc>
          <w:tcPr>
            <w:tcW w:type="dxa" w:w="36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3.2m, −31% YoY; revenue −30% to approx. £95m</w:t>
            </w:r>
          </w:p>
        </w:tc>
      </w:tr>
    </w:tbl>
    <w:p>
      <w:pPr>
        <w:spacing w:after="60"/>
      </w:pPr>
    </w:p>
    <w:p>
      <w:pPr>
        <w:spacing w:after="140" w:line="276"/>
      </w:pPr>
      <w:r>
        <w:rPr>
          <w:rFonts w:ascii="Calibri" w:cs="Calibri" w:eastAsia="Calibri" w:hAnsi="Calibri"/>
          <w:b/>
          <w:bCs/>
          <w:color w:val="1B2721"/>
          <w:sz w:val="21"/>
          <w:szCs w:val="21"/>
        </w:rPr>
        <w:t xml:space="preserve">Interpretation. </w:t>
      </w:r>
      <w:r>
        <w:rPr>
          <w:rFonts w:ascii="Calibri" w:cs="Calibri" w:eastAsia="Calibri" w:hAnsi="Calibri"/>
          <w:color w:val="1B2721"/>
          <w:sz w:val="21"/>
          <w:szCs w:val="21"/>
        </w:rPr>
        <w:t xml:space="preserve">UK demand is growing quickly and is well evidenced. The funding environment is not what it was in 2021, so a venture-scale raise on the strength of the concept alone should not be assumed. The business should be structured to reach profitability at small scale before it seeks growth capital.</w:t>
      </w:r>
    </w:p>
    <w:p>
      <w:pPr>
        <w:pStyle w:val="Heading1"/>
        <w:pBdr>
          <w:bottom w:val="single" w:color="CFDED6" w:sz="6" w:space="6"/>
        </w:pBdr>
        <w:spacing w:after="160" w:before="380"/>
      </w:pPr>
      <w:r>
        <w:rPr>
          <w:rFonts w:ascii="Calibri" w:cs="Calibri" w:eastAsia="Calibri" w:hAnsi="Calibri"/>
          <w:b/>
          <w:bCs/>
          <w:color w:val="0F5132"/>
          <w:sz w:val="26"/>
          <w:szCs w:val="26"/>
        </w:rPr>
        <w:t xml:space="preserve">4. The UK competitive field</w:t>
      </w:r>
    </w:p>
    <w:p>
      <w:pPr>
        <w:pStyle w:val="Heading2"/>
        <w:spacing w:after="100" w:before="260"/>
      </w:pPr>
      <w:r>
        <w:rPr>
          <w:rFonts w:ascii="Calibri" w:cs="Calibri" w:eastAsia="Calibri" w:hAnsi="Calibri"/>
          <w:b/>
          <w:bCs/>
          <w:color w:val="1B2721"/>
          <w:sz w:val="23"/>
          <w:szCs w:val="23"/>
        </w:rPr>
        <w:t xml:space="preserve">4.1 Scheduled marketplaces — the incumbent UK model</w:t>
      </w:r>
    </w:p>
    <w:p>
      <w:pPr>
        <w:spacing w:after="140" w:line="276"/>
      </w:pPr>
      <w:r>
        <w:rPr>
          <w:rFonts w:ascii="Calibri" w:cs="Calibri" w:eastAsia="Calibri" w:hAnsi="Calibri"/>
          <w:b/>
          <w:bCs/>
          <w:color w:val="1B2721"/>
          <w:sz w:val="21"/>
          <w:szCs w:val="21"/>
        </w:rPr>
        <w:t xml:space="preserve">Sherpa</w:t>
      </w:r>
      <w:r>
        <w:rPr>
          <w:rFonts w:ascii="Calibri" w:cs="Calibri" w:eastAsia="Calibri" w:hAnsi="Calibri"/>
          <w:color w:val="1B2721"/>
          <w:sz w:val="21"/>
          <w:szCs w:val="21"/>
        </w:rPr>
        <w:t xml:space="preserve"> is the most directly relevant UK competitor: GCSE and A-level focus, over 350,000 one-to-one lessons delivered, a 4.8-star rating from more than 40,000 parents, lessons from </w:t>
      </w:r>
      <w:r>
        <w:rPr>
          <w:rFonts w:ascii="Calibri" w:cs="Calibri" w:eastAsia="Calibri" w:hAnsi="Calibri"/>
          <w:b/>
          <w:bCs/>
          <w:color w:val="1B2721"/>
          <w:sz w:val="21"/>
          <w:szCs w:val="21"/>
        </w:rPr>
        <w:t xml:space="preserve">£20 per hour</w:t>
      </w:r>
      <w:r>
        <w:rPr>
          <w:rFonts w:ascii="Calibri" w:cs="Calibri" w:eastAsia="Calibri" w:hAnsi="Calibri"/>
          <w:color w:val="1B2721"/>
          <w:sz w:val="21"/>
          <w:szCs w:val="21"/>
        </w:rPr>
        <w:t xml:space="preserve">, and native iOS and Android applications already shipped. It claims an average improvement of 2.2 grades. Its model is booking-based rather than on-demand, which is where Project TA differs.</w:t>
      </w:r>
    </w:p>
    <w:p>
      <w:pPr>
        <w:spacing w:after="140" w:line="276"/>
      </w:pPr>
      <w:r>
        <w:rPr>
          <w:rFonts w:ascii="Calibri" w:cs="Calibri" w:eastAsia="Calibri" w:hAnsi="Calibri"/>
          <w:b/>
          <w:bCs/>
          <w:color w:val="1B2721"/>
          <w:sz w:val="21"/>
          <w:szCs w:val="21"/>
        </w:rPr>
        <w:t xml:space="preserve">MyTutor</w:t>
      </w:r>
      <w:r>
        <w:rPr>
          <w:rFonts w:ascii="Calibri" w:cs="Calibri" w:eastAsia="Calibri" w:hAnsi="Calibri"/>
          <w:color w:val="1B2721"/>
          <w:sz w:val="21"/>
          <w:szCs w:val="21"/>
        </w:rPr>
        <w:t xml:space="preserve"> operates the supply model Project TA proposes: over 5,000 undergraduate tutors from 60 leading universities. </w:t>
      </w:r>
      <w:r>
        <w:rPr>
          <w:rFonts w:ascii="Calibri" w:cs="Calibri" w:eastAsia="Calibri" w:hAnsi="Calibri"/>
          <w:b/>
          <w:bCs/>
          <w:color w:val="1B2721"/>
          <w:sz w:val="21"/>
          <w:szCs w:val="21"/>
        </w:rPr>
        <w:t xml:space="preserve">DBS checks are mandatory.</w:t>
      </w:r>
      <w:r>
        <w:rPr>
          <w:rFonts w:ascii="Calibri" w:cs="Calibri" w:eastAsia="Calibri" w:hAnsi="Calibri"/>
          <w:color w:val="1B2721"/>
          <w:sz w:val="21"/>
          <w:szCs w:val="21"/>
        </w:rPr>
        <w:t xml:space="preserve"> Its published safeguarding and online-safety policies are a useful structural reference.</w:t>
      </w:r>
    </w:p>
    <w:p>
      <w:pPr>
        <w:spacing w:after="140" w:line="276"/>
      </w:pPr>
      <w:r>
        <w:rPr>
          <w:rFonts w:ascii="Calibri" w:cs="Calibri" w:eastAsia="Calibri" w:hAnsi="Calibri"/>
          <w:b/>
          <w:bCs/>
          <w:color w:val="1B2721"/>
          <w:sz w:val="21"/>
          <w:szCs w:val="21"/>
        </w:rPr>
        <w:t xml:space="preserve">Tutorful</w:t>
      </w:r>
      <w:r>
        <w:rPr>
          <w:rFonts w:ascii="Calibri" w:cs="Calibri" w:eastAsia="Calibri" w:hAnsi="Calibri"/>
          <w:color w:val="1B2721"/>
          <w:sz w:val="21"/>
          <w:szCs w:val="21"/>
        </w:rPr>
        <w:t xml:space="preserve"> and </w:t>
      </w:r>
      <w:r>
        <w:rPr>
          <w:rFonts w:ascii="Calibri" w:cs="Calibri" w:eastAsia="Calibri" w:hAnsi="Calibri"/>
          <w:b/>
          <w:bCs/>
          <w:color w:val="1B2721"/>
          <w:sz w:val="21"/>
          <w:szCs w:val="21"/>
        </w:rPr>
        <w:t xml:space="preserve">GoStudent</w:t>
      </w:r>
      <w:r>
        <w:rPr>
          <w:rFonts w:ascii="Calibri" w:cs="Calibri" w:eastAsia="Calibri" w:hAnsi="Calibri"/>
          <w:color w:val="1B2721"/>
          <w:sz w:val="21"/>
          <w:szCs w:val="21"/>
        </w:rPr>
        <w:t xml:space="preserve"> also require DBS checks. </w:t>
      </w:r>
      <w:r>
        <w:rPr>
          <w:rFonts w:ascii="Calibri" w:cs="Calibri" w:eastAsia="Calibri" w:hAnsi="Calibri"/>
          <w:b/>
          <w:bCs/>
          <w:color w:val="1B2721"/>
          <w:sz w:val="21"/>
          <w:szCs w:val="21"/>
        </w:rPr>
        <w:t xml:space="preserve">Superprof, First Tutors and TutorExtra</w:t>
      </w:r>
      <w:r>
        <w:rPr>
          <w:rFonts w:ascii="Calibri" w:cs="Calibri" w:eastAsia="Calibri" w:hAnsi="Calibri"/>
          <w:color w:val="1B2721"/>
          <w:sz w:val="21"/>
          <w:szCs w:val="21"/>
        </w:rPr>
        <w:t xml:space="preserve"> recommend but do not require them — the low-trust segment of the UK market, and the segment against which our safeguarding position is most persuasive.</w:t>
      </w:r>
    </w:p>
    <w:p>
      <w:pPr>
        <w:spacing w:after="140" w:line="276"/>
      </w:pPr>
      <w:r>
        <w:rPr>
          <w:rFonts w:ascii="Calibri" w:cs="Calibri" w:eastAsia="Calibri" w:hAnsi="Calibri"/>
          <w:b/>
          <w:bCs/>
          <w:color w:val="1B2721"/>
          <w:sz w:val="21"/>
          <w:szCs w:val="21"/>
        </w:rPr>
        <w:t xml:space="preserve">Third Space Learning</w:t>
      </w:r>
      <w:r>
        <w:rPr>
          <w:rFonts w:ascii="Calibri" w:cs="Calibri" w:eastAsia="Calibri" w:hAnsi="Calibri"/>
          <w:color w:val="1B2721"/>
          <w:sz w:val="21"/>
          <w:szCs w:val="21"/>
        </w:rPr>
        <w:t xml:space="preserve"> is the UK's largest schools-facing online maths tutoring provider, selling flat annual school licences of approximately </w:t>
      </w:r>
      <w:r>
        <w:rPr>
          <w:rFonts w:ascii="Calibri" w:cs="Calibri" w:eastAsia="Calibri" w:hAnsi="Calibri"/>
          <w:b/>
          <w:bCs/>
          <w:color w:val="1B2721"/>
          <w:sz w:val="21"/>
          <w:szCs w:val="21"/>
        </w:rPr>
        <w:t xml:space="preserve">£3,900–11,800</w:t>
      </w:r>
      <w:r>
        <w:rPr>
          <w:rFonts w:ascii="Calibri" w:cs="Calibri" w:eastAsia="Calibri" w:hAnsi="Calibri"/>
          <w:color w:val="1B2721"/>
          <w:sz w:val="21"/>
          <w:szCs w:val="21"/>
        </w:rPr>
        <w:t xml:space="preserve"> depending on school size. This is the proven UK route should direct-to-consumer acquisition prove difficult.</w:t>
      </w:r>
    </w:p>
    <w:p>
      <w:pPr>
        <w:pStyle w:val="Heading2"/>
        <w:spacing w:after="100" w:before="260"/>
      </w:pPr>
      <w:r>
        <w:rPr>
          <w:rFonts w:ascii="Calibri" w:cs="Calibri" w:eastAsia="Calibri" w:hAnsi="Calibri"/>
          <w:b/>
          <w:bCs/>
          <w:color w:val="1B2721"/>
          <w:sz w:val="23"/>
          <w:szCs w:val="23"/>
        </w:rPr>
        <w:t xml:space="preserve">4.2 International precedents in the on-demand category</w:t>
      </w:r>
    </w:p>
    <w:p>
      <w:pPr>
        <w:spacing w:after="140" w:line="276"/>
      </w:pPr>
      <w:r>
        <w:rPr>
          <w:rFonts w:ascii="Calibri" w:cs="Calibri" w:eastAsia="Calibri" w:hAnsi="Calibri"/>
          <w:color w:val="1B2721"/>
          <w:sz w:val="21"/>
          <w:szCs w:val="21"/>
        </w:rPr>
        <w:t xml:space="preserve">Included because they are the only operators to have run this exact model at scale. Pricing converted to sterling.</w:t>
      </w:r>
    </w:p>
    <w:p>
      <w:pPr>
        <w:spacing w:after="140" w:line="276"/>
      </w:pPr>
      <w:r>
        <w:rPr>
          <w:rFonts w:ascii="Calibri" w:cs="Calibri" w:eastAsia="Calibri" w:hAnsi="Calibri"/>
          <w:b/>
          <w:bCs/>
          <w:color w:val="1B2721"/>
          <w:sz w:val="21"/>
          <w:szCs w:val="21"/>
        </w:rPr>
        <w:t xml:space="preserve">Snapask (Hong Kong)</w:t>
      </w:r>
      <w:r>
        <w:rPr>
          <w:rFonts w:ascii="Calibri" w:cs="Calibri" w:eastAsia="Calibri" w:hAnsi="Calibri"/>
          <w:color w:val="1B2721"/>
          <w:sz w:val="21"/>
          <w:szCs w:val="21"/>
        </w:rPr>
        <w:t xml:space="preserve"> — the closest proven precedent. A student photographs a question; the platform alerts qualified tutors; the fastest to respond, frequently within five seconds, is assigned the session. Approximately 3.2m students and 350,000 tutors on approximately £44.7m raised, including a £27.5m round in 2020. Monetised by </w:t>
      </w:r>
      <w:r>
        <w:rPr>
          <w:rFonts w:ascii="Calibri" w:cs="Calibri" w:eastAsia="Calibri" w:hAnsi="Calibri"/>
          <w:b/>
          <w:bCs/>
          <w:color w:val="1B2721"/>
          <w:sz w:val="21"/>
          <w:szCs w:val="21"/>
        </w:rPr>
        <w:t xml:space="preserve">subscription</w:t>
      </w:r>
      <w:r>
        <w:rPr>
          <w:rFonts w:ascii="Calibri" w:cs="Calibri" w:eastAsia="Calibri" w:hAnsi="Calibri"/>
          <w:color w:val="1B2721"/>
          <w:sz w:val="21"/>
          <w:szCs w:val="21"/>
        </w:rPr>
        <w:t xml:space="preserve">, not by single session. Reported to have ceased active operation around 2022.</w:t>
      </w:r>
    </w:p>
    <w:p>
      <w:pPr>
        <w:spacing w:after="140" w:line="276"/>
      </w:pPr>
      <w:r>
        <w:rPr>
          <w:rFonts w:ascii="Calibri" w:cs="Calibri" w:eastAsia="Calibri" w:hAnsi="Calibri"/>
          <w:b/>
          <w:bCs/>
          <w:color w:val="1B2721"/>
          <w:sz w:val="21"/>
          <w:szCs w:val="21"/>
        </w:rPr>
        <w:t xml:space="preserve">Yup (US)</w:t>
      </w:r>
      <w:r>
        <w:rPr>
          <w:rFonts w:ascii="Calibri" w:cs="Calibri" w:eastAsia="Calibri" w:hAnsi="Calibri"/>
          <w:color w:val="1B2721"/>
          <w:sz w:val="21"/>
          <w:szCs w:val="21"/>
        </w:rPr>
        <w:t xml:space="preserve"> — on-demand, chat-based, whiteboard-driven maths tutoring, no video. Raised approximately £18.5m. </w:t>
      </w:r>
      <w:r>
        <w:rPr>
          <w:rFonts w:ascii="Calibri" w:cs="Calibri" w:eastAsia="Calibri" w:hAnsi="Calibri"/>
          <w:b/>
          <w:bCs/>
          <w:color w:val="1B2721"/>
          <w:sz w:val="21"/>
          <w:szCs w:val="21"/>
        </w:rPr>
        <w:t xml:space="preserve">Ceased operations by February 2025</w:t>
      </w:r>
      <w:r>
        <w:rPr>
          <w:rFonts w:ascii="Calibri" w:cs="Calibri" w:eastAsia="Calibri" w:hAnsi="Calibri"/>
          <w:color w:val="1B2721"/>
          <w:sz w:val="21"/>
          <w:szCs w:val="21"/>
        </w:rPr>
        <w:t xml:space="preserve">, with tutor pay of approximately £8 per hour the most commonly cited cause.</w:t>
      </w:r>
    </w:p>
    <w:p>
      <w:pPr>
        <w:spacing w:after="140" w:line="276"/>
      </w:pPr>
      <w:r>
        <w:rPr>
          <w:rFonts w:ascii="Calibri" w:cs="Calibri" w:eastAsia="Calibri" w:hAnsi="Calibri"/>
          <w:b/>
          <w:bCs/>
          <w:color w:val="1B2721"/>
          <w:sz w:val="21"/>
          <w:szCs w:val="21"/>
        </w:rPr>
        <w:t xml:space="preserve">UPchieve (US)</w:t>
      </w:r>
      <w:r>
        <w:rPr>
          <w:rFonts w:ascii="Calibri" w:cs="Calibri" w:eastAsia="Calibri" w:hAnsi="Calibri"/>
          <w:color w:val="1B2721"/>
          <w:sz w:val="21"/>
          <w:szCs w:val="21"/>
        </w:rPr>
        <w:t xml:space="preserve"> — free, 24/7, chat and whiteboard, for eligible lower-income secondary students. Volunteer tutors, funded by school partnership fees of approximately </w:t>
      </w:r>
      <w:r>
        <w:rPr>
          <w:rFonts w:ascii="Calibri" w:cs="Calibri" w:eastAsia="Calibri" w:hAnsi="Calibri"/>
          <w:b/>
          <w:bCs/>
          <w:color w:val="1B2721"/>
          <w:sz w:val="21"/>
          <w:szCs w:val="21"/>
        </w:rPr>
        <w:t xml:space="preserve">£7,900 per school per year</w:t>
      </w:r>
      <w:r>
        <w:rPr>
          <w:rFonts w:ascii="Calibri" w:cs="Calibri" w:eastAsia="Calibri" w:hAnsi="Calibri"/>
          <w:color w:val="1B2721"/>
          <w:sz w:val="21"/>
          <w:szCs w:val="21"/>
        </w:rPr>
        <w:t xml:space="preserve">. Validates both the interface for this age group and the institutional funding route.</w:t>
      </w:r>
    </w:p>
    <w:p>
      <w:pPr>
        <w:spacing w:after="140" w:line="276"/>
      </w:pPr>
      <w:r>
        <w:rPr>
          <w:rFonts w:ascii="Calibri" w:cs="Calibri" w:eastAsia="Calibri" w:hAnsi="Calibri"/>
          <w:color w:val="1B2721"/>
          <w:sz w:val="21"/>
          <w:szCs w:val="21"/>
        </w:rPr>
        <w:t xml:space="preserve">Tutor.com approximately £23–31 per hour · TutorMe (Pearson) from approximately £20 · Skooli per-minute at approximately £0.65 (about £39 per hour) · Wyzant £20–47, 25% flat commission · Preply £8–31, 18–33% tiered · Tutorpeers free to approximately £20 per 30 minutes.</w:t>
      </w:r>
    </w:p>
    <w:p>
      <w:pPr>
        <w:spacing w:after="140" w:line="276"/>
      </w:pPr>
      <w:r>
        <w:rPr>
          <w:rFonts w:ascii="Calibri" w:cs="Calibri" w:eastAsia="Calibri" w:hAnsi="Calibri"/>
          <w:b/>
          <w:bCs/>
          <w:color w:val="1B2721"/>
          <w:sz w:val="21"/>
          <w:szCs w:val="21"/>
        </w:rPr>
        <w:t xml:space="preserve">Varsity Tutors</w:t>
      </w:r>
      <w:r>
        <w:rPr>
          <w:rFonts w:ascii="Calibri" w:cs="Calibri" w:eastAsia="Calibri" w:hAnsi="Calibri"/>
          <w:color w:val="1B2721"/>
          <w:sz w:val="21"/>
          <w:szCs w:val="21"/>
        </w:rPr>
        <w:t xml:space="preserve"> is commercially notable: students billed approximately </w:t>
      </w:r>
      <w:r>
        <w:rPr>
          <w:rFonts w:ascii="Calibri" w:cs="Calibri" w:eastAsia="Calibri" w:hAnsi="Calibri"/>
          <w:b/>
          <w:bCs/>
          <w:color w:val="1B2721"/>
          <w:sz w:val="21"/>
          <w:szCs w:val="21"/>
        </w:rPr>
        <w:t xml:space="preserve">£51–75 per hour</w:t>
      </w:r>
      <w:r>
        <w:rPr>
          <w:rFonts w:ascii="Calibri" w:cs="Calibri" w:eastAsia="Calibri" w:hAnsi="Calibri"/>
          <w:color w:val="1B2721"/>
          <w:sz w:val="21"/>
          <w:szCs w:val="21"/>
        </w:rPr>
        <w:t xml:space="preserve"> while tutors earn approximately </w:t>
      </w:r>
      <w:r>
        <w:rPr>
          <w:rFonts w:ascii="Calibri" w:cs="Calibri" w:eastAsia="Calibri" w:hAnsi="Calibri"/>
          <w:b/>
          <w:bCs/>
          <w:color w:val="1B2721"/>
          <w:sz w:val="21"/>
          <w:szCs w:val="21"/>
        </w:rPr>
        <w:t xml:space="preserve">£9–16</w:t>
      </w:r>
      <w:r>
        <w:rPr>
          <w:rFonts w:ascii="Calibri" w:cs="Calibri" w:eastAsia="Calibri" w:hAnsi="Calibri"/>
          <w:color w:val="1B2721"/>
          <w:sz w:val="21"/>
          <w:szCs w:val="21"/>
        </w:rPr>
        <w:t xml:space="preserve">, implying a platform take approaching </w:t>
      </w:r>
      <w:r>
        <w:rPr>
          <w:rFonts w:ascii="Calibri" w:cs="Calibri" w:eastAsia="Calibri" w:hAnsi="Calibri"/>
          <w:b/>
          <w:bCs/>
          <w:color w:val="1B2721"/>
          <w:sz w:val="21"/>
          <w:szCs w:val="21"/>
        </w:rPr>
        <w:t xml:space="preserve">70%</w:t>
      </w:r>
      <w:r>
        <w:rPr>
          <w:rFonts w:ascii="Calibri" w:cs="Calibri" w:eastAsia="Calibri" w:hAnsi="Calibri"/>
          <w:color w:val="1B2721"/>
          <w:sz w:val="21"/>
          <w:szCs w:val="21"/>
        </w:rPr>
        <w:t xml:space="preserve">.</w:t>
      </w:r>
    </w:p>
    <w:p>
      <w:pPr>
        <w:pStyle w:val="Heading2"/>
        <w:spacing w:after="100" w:before="260"/>
      </w:pPr>
      <w:r>
        <w:rPr>
          <w:rFonts w:ascii="Calibri" w:cs="Calibri" w:eastAsia="Calibri" w:hAnsi="Calibri"/>
          <w:b/>
          <w:bCs/>
          <w:color w:val="1B2721"/>
          <w:sz w:val="23"/>
          <w:szCs w:val="23"/>
        </w:rPr>
        <w:t xml:space="preserve">4.3 AI-first products</w:t>
      </w:r>
    </w:p>
    <w:p>
      <w:pPr>
        <w:spacing w:after="140" w:line="276"/>
      </w:pPr>
      <w:r>
        <w:rPr>
          <w:rFonts w:ascii="Calibri" w:cs="Calibri" w:eastAsia="Calibri" w:hAnsi="Calibri"/>
          <w:color w:val="1B2721"/>
          <w:sz w:val="21"/>
          <w:szCs w:val="21"/>
        </w:rPr>
        <w:t xml:space="preserve">Photomath, Gauth, Brainly, Khanmigo and general-purpose assistants are free or near-free, instantaneous, and available without waiting for a human.</w:t>
      </w:r>
    </w:p>
    <w:p>
      <w:pPr>
        <w:spacing w:after="140" w:line="276"/>
      </w:pPr>
      <w:r>
        <w:rPr>
          <w:rFonts w:ascii="Calibri" w:cs="Calibri" w:eastAsia="Calibri" w:hAnsi="Calibri"/>
          <w:b/>
          <w:bCs/>
          <w:color w:val="1B2721"/>
          <w:sz w:val="21"/>
          <w:szCs w:val="21"/>
        </w:rPr>
        <w:t xml:space="preserve">Assessment. </w:t>
      </w:r>
      <w:r>
        <w:rPr>
          <w:rFonts w:ascii="Calibri" w:cs="Calibri" w:eastAsia="Calibri" w:hAnsi="Calibri"/>
          <w:color w:val="1B2721"/>
          <w:sz w:val="21"/>
          <w:szCs w:val="21"/>
        </w:rPr>
        <w:t xml:space="preserve">For “what is the answer to question 7”, Project TA cannot compete and should not try. For “I have a mock on Thursday, I do not understand why we integrate by parts here, and I have spent forty minutes on it”, a person who sat the same specification recently holds a decisive advantage. The product should be positioned exclusively at the second case.</w:t>
      </w:r>
    </w:p>
    <w:p>
      <w:pPr>
        <w:pStyle w:val="Heading1"/>
        <w:pBdr>
          <w:bottom w:val="single" w:color="CFDED6" w:sz="6" w:space="6"/>
        </w:pBdr>
        <w:spacing w:after="160" w:before="380"/>
      </w:pPr>
      <w:r>
        <w:rPr>
          <w:rFonts w:ascii="Calibri" w:cs="Calibri" w:eastAsia="Calibri" w:hAnsi="Calibri"/>
          <w:b/>
          <w:bCs/>
          <w:color w:val="0F5132"/>
          <w:sz w:val="26"/>
          <w:szCs w:val="26"/>
        </w:rPr>
        <w:t xml:space="preserve">5. Feature comparison</w:t>
      </w:r>
    </w:p>
    <w:tbl>
      <w:tblPr>
        <w:tblW w:type="dxa" w:w="9638"/>
        <w:tblBorders>
          <w:top w:val="single" w:color="CFDED6" w:sz="2"/>
          <w:left w:val="none" w:color="auto" w:sz="0"/>
          <w:bottom w:val="single" w:color="CFDED6" w:sz="2"/>
          <w:right w:val="none" w:color="auto" w:sz="0"/>
          <w:insideH w:val="single" w:color="CFDED6" w:sz="2"/>
          <w:insideV w:val="none" w:color="auto" w:sz="0"/>
        </w:tblBorders>
      </w:tblPr>
      <w:tblGrid>
        <w:gridCol w:w="2398"/>
        <w:gridCol w:w="905"/>
        <w:gridCol w:w="905"/>
        <w:gridCol w:w="905"/>
        <w:gridCol w:w="905"/>
        <w:gridCol w:w="905"/>
        <w:gridCol w:w="905"/>
        <w:gridCol w:w="905"/>
        <w:gridCol w:w="905"/>
      </w:tblGrid>
      <w:tr>
        <w:trPr>
          <w:tblHeader/>
        </w:trPr>
        <w:tc>
          <w:tcPr>
            <w:tcW w:type="dxa" w:w="2398"/>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6"/>
                <w:szCs w:val="16"/>
              </w:rPr>
              <w:t xml:space="preserve">Feature</w:t>
            </w:r>
          </w:p>
        </w:tc>
        <w:tc>
          <w:tcPr>
            <w:tcW w:type="dxa" w:w="905"/>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6"/>
                <w:szCs w:val="16"/>
              </w:rPr>
              <w:t xml:space="preserve">Snapask</w:t>
            </w:r>
          </w:p>
        </w:tc>
        <w:tc>
          <w:tcPr>
            <w:tcW w:type="dxa" w:w="905"/>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6"/>
                <w:szCs w:val="16"/>
              </w:rPr>
              <w:t xml:space="preserve">Yup</w:t>
            </w:r>
          </w:p>
        </w:tc>
        <w:tc>
          <w:tcPr>
            <w:tcW w:type="dxa" w:w="905"/>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6"/>
                <w:szCs w:val="16"/>
              </w:rPr>
              <w:t xml:space="preserve">UPchieve</w:t>
            </w:r>
          </w:p>
        </w:tc>
        <w:tc>
          <w:tcPr>
            <w:tcW w:type="dxa" w:w="905"/>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6"/>
                <w:szCs w:val="16"/>
              </w:rPr>
              <w:t xml:space="preserve">Tutor.com</w:t>
            </w:r>
          </w:p>
        </w:tc>
        <w:tc>
          <w:tcPr>
            <w:tcW w:type="dxa" w:w="905"/>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6"/>
                <w:szCs w:val="16"/>
              </w:rPr>
              <w:t xml:space="preserve">MyTutor</w:t>
            </w:r>
          </w:p>
        </w:tc>
        <w:tc>
          <w:tcPr>
            <w:tcW w:type="dxa" w:w="905"/>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6"/>
                <w:szCs w:val="16"/>
              </w:rPr>
              <w:t xml:space="preserve">Sherpa</w:t>
            </w:r>
          </w:p>
        </w:tc>
        <w:tc>
          <w:tcPr>
            <w:tcW w:type="dxa" w:w="905"/>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6"/>
                <w:szCs w:val="16"/>
              </w:rPr>
              <w:t xml:space="preserve">Wyzant</w:t>
            </w:r>
          </w:p>
        </w:tc>
        <w:tc>
          <w:tcPr>
            <w:tcW w:type="dxa" w:w="905"/>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6"/>
                <w:szCs w:val="16"/>
              </w:rPr>
              <w:t xml:space="preserve">Project TA</w:t>
            </w:r>
          </w:p>
        </w:tc>
      </w:tr>
      <w:tr>
        <w:trPr>
          <w:tblHeader w:val="false"/>
        </w:trPr>
        <w:tc>
          <w:tcPr>
            <w:tcW w:type="dxa" w:w="2398"/>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Instant match, no booking</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r>
      <w:tr>
        <w:trPr>
          <w:tblHeader w:val="false"/>
        </w:trPr>
        <w:tc>
          <w:tcPr>
            <w:tcW w:type="dxa" w:w="2398"/>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Shared whiteboard</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r>
      <w:tr>
        <w:trPr>
          <w:tblHeader w:val="false"/>
        </w:trPr>
        <w:tc>
          <w:tcPr>
            <w:tcW w:type="dxa" w:w="2398"/>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Video required</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 (by design)</w:t>
            </w:r>
          </w:p>
        </w:tc>
      </w:tr>
      <w:tr>
        <w:trPr>
          <w:tblHeader w:val="false"/>
        </w:trPr>
        <w:tc>
          <w:tcPr>
            <w:tcW w:type="dxa" w:w="2398"/>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Fee disclosed before acceptance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n/a</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 unique</w:t>
            </w:r>
          </w:p>
        </w:tc>
      </w:tr>
      <w:tr>
        <w:trPr>
          <w:tblHeader w:val="false"/>
        </w:trPr>
        <w:tc>
          <w:tcPr>
            <w:tcW w:type="dxa" w:w="2398"/>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Undergraduate supply model</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r>
      <w:tr>
        <w:trPr>
          <w:tblHeader w:val="false"/>
        </w:trPr>
        <w:tc>
          <w:tcPr>
            <w:tcW w:type="dxa" w:w="2398"/>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Mandatory DBS</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n/a</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n/a</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US</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US</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r>
      <w:tr>
        <w:trPr>
          <w:tblHeader w:val="false"/>
        </w:trPr>
        <w:tc>
          <w:tcPr>
            <w:tcW w:type="dxa" w:w="2398"/>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Transcript retained</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r>
      <w:tr>
        <w:trPr>
          <w:tblHeader w:val="false"/>
        </w:trPr>
        <w:tc>
          <w:tcPr>
            <w:tcW w:type="dxa" w:w="2398"/>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Exam-board routing</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w:t>
            </w:r>
          </w:p>
        </w:tc>
        <w:tc>
          <w:tcPr>
            <w:tcW w:type="dxa" w:w="905"/>
            <w:tcMar>
              <w:top w:type="dxa" w:w="70"/>
              <w:left w:type="dxa" w:w="110"/>
              <w:bottom w:type="dxa" w:w="70"/>
              <w:right w:type="dxa" w:w="110"/>
            </w:tcMar>
          </w:tcPr>
          <w:p>
            <w:pPr>
              <w:spacing w:after="0" w:line="240"/>
            </w:pPr>
            <w:r>
              <w:rPr>
                <w:rFonts w:ascii="Calibri" w:cs="Calibri" w:eastAsia="Calibri" w:hAnsi="Calibri"/>
                <w:b w:val="false"/>
                <w:bCs w:val="false"/>
                <w:color w:val="1B2721"/>
                <w:sz w:val="16"/>
                <w:szCs w:val="16"/>
              </w:rPr>
              <w:t xml:space="preserve">✓ unique</w:t>
            </w:r>
          </w:p>
        </w:tc>
      </w:tr>
    </w:tbl>
    <w:p>
      <w:pPr>
        <w:spacing w:after="60" w:line="276"/>
      </w:pPr>
      <w:r>
        <w:rPr>
          <w:rFonts w:ascii="Calibri" w:cs="Calibri" w:eastAsia="Calibri" w:hAnsi="Calibri"/>
          <w:color w:val="5C6B63"/>
          <w:sz w:val="17"/>
          <w:szCs w:val="17"/>
        </w:rPr>
        <w:t xml:space="preserve">✓ present  ·  ~ partial or undisclosed  ·  – absent</w:t>
      </w:r>
    </w:p>
    <w:p>
      <w:pPr>
        <w:pStyle w:val="Heading1"/>
        <w:pBdr>
          <w:bottom w:val="single" w:color="CFDED6" w:sz="6" w:space="6"/>
        </w:pBdr>
        <w:spacing w:after="160" w:before="380"/>
      </w:pPr>
      <w:r>
        <w:rPr>
          <w:rFonts w:ascii="Calibri" w:cs="Calibri" w:eastAsia="Calibri" w:hAnsi="Calibri"/>
          <w:b/>
          <w:bCs/>
          <w:color w:val="0F5132"/>
          <w:sz w:val="26"/>
          <w:szCs w:val="26"/>
        </w:rPr>
        <w:t xml:space="preserve">6. Pricing and platform economics</w:t>
      </w:r>
    </w:p>
    <w:tbl>
      <w:tblPr>
        <w:tblW w:type="dxa" w:w="9638"/>
        <w:tblBorders>
          <w:top w:val="single" w:color="CFDED6" w:sz="2"/>
          <w:left w:val="none" w:color="auto" w:sz="0"/>
          <w:bottom w:val="single" w:color="CFDED6" w:sz="2"/>
          <w:right w:val="none" w:color="auto" w:sz="0"/>
          <w:insideH w:val="single" w:color="CFDED6" w:sz="2"/>
          <w:insideV w:val="none" w:color="auto" w:sz="0"/>
        </w:tblBorders>
      </w:tblPr>
      <w:tblGrid>
        <w:gridCol w:w="2600"/>
        <w:gridCol w:w="2400"/>
        <w:gridCol w:w="2400"/>
        <w:gridCol w:w="2238"/>
      </w:tblGrid>
      <w:tr>
        <w:trPr>
          <w:tblHeader/>
        </w:trPr>
        <w:tc>
          <w:tcPr>
            <w:tcW w:type="dxa" w:w="2600"/>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9"/>
                <w:szCs w:val="19"/>
              </w:rPr>
              <w:t xml:space="preserve">Platform</w:t>
            </w:r>
          </w:p>
        </w:tc>
        <w:tc>
          <w:tcPr>
            <w:tcW w:type="dxa" w:w="2400"/>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9"/>
                <w:szCs w:val="19"/>
              </w:rPr>
              <w:t xml:space="preserve">Student pays</w:t>
            </w:r>
          </w:p>
        </w:tc>
        <w:tc>
          <w:tcPr>
            <w:tcW w:type="dxa" w:w="2400"/>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9"/>
                <w:szCs w:val="19"/>
              </w:rPr>
              <w:t xml:space="preserve">Tutor receives</w:t>
            </w:r>
          </w:p>
        </w:tc>
        <w:tc>
          <w:tcPr>
            <w:tcW w:type="dxa" w:w="2238"/>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9"/>
                <w:szCs w:val="19"/>
              </w:rPr>
              <w:t xml:space="preserve">Platform take</w:t>
            </w:r>
          </w:p>
        </w:tc>
      </w:tr>
      <w:tr>
        <w:trPr>
          <w:tblHeader w:val="false"/>
        </w:trPr>
        <w:tc>
          <w:tcPr>
            <w:tcW w:type="dxa" w:w="26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Varsity Tutors</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£51–75/hr</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£9–16/hr</w:t>
            </w:r>
          </w:p>
        </w:tc>
        <w:tc>
          <w:tcPr>
            <w:tcW w:type="dxa" w:w="2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approx. 70%</w:t>
            </w:r>
          </w:p>
        </w:tc>
      </w:tr>
      <w:tr>
        <w:trPr>
          <w:tblHeader w:val="false"/>
        </w:trPr>
        <w:tc>
          <w:tcPr>
            <w:tcW w:type="dxa" w:w="26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Preply</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£8–31/hr</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67–82% of rate</w:t>
            </w:r>
          </w:p>
        </w:tc>
        <w:tc>
          <w:tcPr>
            <w:tcW w:type="dxa" w:w="2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18–33%, tiered</w:t>
            </w:r>
          </w:p>
        </w:tc>
      </w:tr>
      <w:tr>
        <w:trPr>
          <w:tblHeader w:val="false"/>
        </w:trPr>
        <w:tc>
          <w:tcPr>
            <w:tcW w:type="dxa" w:w="26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Wyzant</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£20–47/hr</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75% of rate</w:t>
            </w:r>
          </w:p>
        </w:tc>
        <w:tc>
          <w:tcPr>
            <w:tcW w:type="dxa" w:w="2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25% flat</w:t>
            </w:r>
          </w:p>
        </w:tc>
      </w:tr>
      <w:tr>
        <w:trPr>
          <w:tblHeader w:val="false"/>
        </w:trPr>
        <w:tc>
          <w:tcPr>
            <w:tcW w:type="dxa" w:w="26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Skooli</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approx. £39/hr</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undisclosed</w:t>
            </w:r>
          </w:p>
        </w:tc>
        <w:tc>
          <w:tcPr>
            <w:tcW w:type="dxa" w:w="2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w:t>
            </w:r>
          </w:p>
        </w:tc>
      </w:tr>
      <w:tr>
        <w:trPr>
          <w:tblHeader w:val="false"/>
        </w:trPr>
        <w:tc>
          <w:tcPr>
            <w:tcW w:type="dxa" w:w="26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Tutor.com</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£23–31/hr</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approx. £9–12/hr</w:t>
            </w:r>
          </w:p>
        </w:tc>
        <w:tc>
          <w:tcPr>
            <w:tcW w:type="dxa" w:w="2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high</w:t>
            </w:r>
          </w:p>
        </w:tc>
      </w:tr>
      <w:tr>
        <w:trPr>
          <w:tblHeader w:val="false"/>
        </w:trPr>
        <w:tc>
          <w:tcPr>
            <w:tcW w:type="dxa" w:w="26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Sherpa (UK)</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from £20/hr</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undisclosed</w:t>
            </w:r>
          </w:p>
        </w:tc>
        <w:tc>
          <w:tcPr>
            <w:tcW w:type="dxa" w:w="2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w:t>
            </w:r>
          </w:p>
        </w:tc>
      </w:tr>
      <w:tr>
        <w:trPr>
          <w:tblHeader w:val="false"/>
        </w:trPr>
        <w:tc>
          <w:tcPr>
            <w:tcW w:type="dxa" w:w="26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MyTutor (UK)</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£25–60/hr</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undisclosed</w:t>
            </w:r>
          </w:p>
        </w:tc>
        <w:tc>
          <w:tcPr>
            <w:tcW w:type="dxa" w:w="2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w:t>
            </w:r>
          </w:p>
        </w:tc>
      </w:tr>
      <w:tr>
        <w:trPr>
          <w:tblHeader w:val="false"/>
        </w:trPr>
        <w:tc>
          <w:tcPr>
            <w:tcW w:type="dxa" w:w="26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Yup (ceased trading)</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subscription</w:t>
            </w:r>
          </w:p>
        </w:tc>
        <w:tc>
          <w:tcPr>
            <w:tcW w:type="dxa" w:w="2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approx. £8/hr</w:t>
            </w:r>
          </w:p>
        </w:tc>
        <w:tc>
          <w:tcPr>
            <w:tcW w:type="dxa" w:w="2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terminal</w:t>
            </w:r>
          </w:p>
        </w:tc>
      </w:tr>
      <w:tr>
        <w:trPr>
          <w:tblHeader w:val="false"/>
        </w:trPr>
        <w:tc>
          <w:tcPr>
            <w:tcW w:type="dxa" w:w="2600"/>
            <w:shd w:fill="EAF3EE" w:color="auto" w:val="clear"/>
            <w:tcMar>
              <w:top w:type="dxa" w:w="70"/>
              <w:left w:type="dxa" w:w="110"/>
              <w:bottom w:type="dxa" w:w="70"/>
              <w:right w:type="dxa" w:w="110"/>
            </w:tcMar>
          </w:tcPr>
          <w:p>
            <w:pPr>
              <w:spacing w:after="0" w:line="240"/>
            </w:pPr>
            <w:r>
              <w:rPr>
                <w:rFonts w:ascii="Calibri" w:cs="Calibri" w:eastAsia="Calibri" w:hAnsi="Calibri"/>
                <w:b/>
                <w:bCs/>
                <w:color w:val="1B2721"/>
                <w:sz w:val="19"/>
                <w:szCs w:val="19"/>
              </w:rPr>
              <w:t xml:space="preserve">Project TA (proposed)</w:t>
            </w:r>
          </w:p>
        </w:tc>
        <w:tc>
          <w:tcPr>
            <w:tcW w:type="dxa" w:w="2400"/>
            <w:shd w:fill="EAF3EE" w:color="auto" w:val="clear"/>
            <w:tcMar>
              <w:top w:type="dxa" w:w="70"/>
              <w:left w:type="dxa" w:w="110"/>
              <w:bottom w:type="dxa" w:w="70"/>
              <w:right w:type="dxa" w:w="110"/>
            </w:tcMar>
          </w:tcPr>
          <w:p>
            <w:pPr>
              <w:spacing w:after="0" w:line="240"/>
            </w:pPr>
            <w:r>
              <w:rPr>
                <w:rFonts w:ascii="Calibri" w:cs="Calibri" w:eastAsia="Calibri" w:hAnsi="Calibri"/>
                <w:b/>
                <w:bCs/>
                <w:color w:val="1B2721"/>
                <w:sz w:val="19"/>
                <w:szCs w:val="19"/>
              </w:rPr>
              <w:t xml:space="preserve">£6 per 15 min (£24/hr)</w:t>
            </w:r>
          </w:p>
        </w:tc>
        <w:tc>
          <w:tcPr>
            <w:tcW w:type="dxa" w:w="2400"/>
            <w:shd w:fill="EAF3EE" w:color="auto" w:val="clear"/>
            <w:tcMar>
              <w:top w:type="dxa" w:w="70"/>
              <w:left w:type="dxa" w:w="110"/>
              <w:bottom w:type="dxa" w:w="70"/>
              <w:right w:type="dxa" w:w="110"/>
            </w:tcMar>
          </w:tcPr>
          <w:p>
            <w:pPr>
              <w:spacing w:after="0" w:line="240"/>
            </w:pPr>
            <w:r>
              <w:rPr>
                <w:rFonts w:ascii="Calibri" w:cs="Calibri" w:eastAsia="Calibri" w:hAnsi="Calibri"/>
                <w:b/>
                <w:bCs/>
                <w:color w:val="1B2721"/>
                <w:sz w:val="19"/>
                <w:szCs w:val="19"/>
              </w:rPr>
              <w:t xml:space="preserve">£4 per 15 min (£16/hr)</w:t>
            </w:r>
          </w:p>
        </w:tc>
        <w:tc>
          <w:tcPr>
            <w:tcW w:type="dxa" w:w="2238"/>
            <w:shd w:fill="EAF3EE" w:color="auto" w:val="clear"/>
            <w:tcMar>
              <w:top w:type="dxa" w:w="70"/>
              <w:left w:type="dxa" w:w="110"/>
              <w:bottom w:type="dxa" w:w="70"/>
              <w:right w:type="dxa" w:w="110"/>
            </w:tcMar>
          </w:tcPr>
          <w:p>
            <w:pPr>
              <w:spacing w:after="0" w:line="240"/>
            </w:pPr>
            <w:r>
              <w:rPr>
                <w:rFonts w:ascii="Calibri" w:cs="Calibri" w:eastAsia="Calibri" w:hAnsi="Calibri"/>
                <w:b/>
                <w:bCs/>
                <w:color w:val="1B2721"/>
                <w:sz w:val="19"/>
                <w:szCs w:val="19"/>
              </w:rPr>
              <w:t xml:space="preserve">33%</w:t>
            </w:r>
          </w:p>
        </w:tc>
      </w:tr>
    </w:tbl>
    <w:p>
      <w:pPr>
        <w:spacing w:after="60"/>
      </w:pPr>
    </w:p>
    <w:p>
      <w:pPr>
        <w:spacing w:after="140" w:line="276"/>
      </w:pPr>
      <w:r>
        <w:rPr>
          <w:rFonts w:ascii="Calibri" w:cs="Calibri" w:eastAsia="Calibri" w:hAnsi="Calibri"/>
          <w:b/>
          <w:bCs/>
          <w:color w:val="1B2721"/>
          <w:sz w:val="21"/>
          <w:szCs w:val="21"/>
        </w:rPr>
        <w:t xml:space="preserve">Rationale. </w:t>
      </w:r>
      <w:r>
        <w:rPr>
          <w:rFonts w:ascii="Calibri" w:cs="Calibri" w:eastAsia="Calibri" w:hAnsi="Calibri"/>
          <w:color w:val="1B2721"/>
          <w:sz w:val="21"/>
          <w:szCs w:val="21"/>
        </w:rPr>
        <w:t xml:space="preserve">£16 per hour to the tutor exceeds a UK undergraduate's realistic alternative — retail or hospitality at approximately £11–12 — without eliminating platform margin, directly addressing the failure mode that ended Yup. £6 for fifteen minutes sits below the threshold at which a student must seek parental approval, and is materially cheaper per hour than every UK comparator identified. A 33% take sits between Wyzant's 25% and Preply's opening 33%; it is defensible and can be published, which no comparator does.</w:t>
      </w:r>
    </w:p>
    <w:p>
      <w:pPr>
        <w:pStyle w:val="Heading1"/>
        <w:pBdr>
          <w:bottom w:val="single" w:color="CFDED6" w:sz="6" w:space="6"/>
        </w:pBdr>
        <w:spacing w:after="160" w:before="380"/>
      </w:pPr>
      <w:r>
        <w:rPr>
          <w:rFonts w:ascii="Calibri" w:cs="Calibri" w:eastAsia="Calibri" w:hAnsi="Calibri"/>
          <w:b/>
          <w:bCs/>
          <w:color w:val="0F5132"/>
          <w:sz w:val="26"/>
          <w:szCs w:val="26"/>
        </w:rPr>
        <w:t xml:space="preserve">7. Unit economics</w:t>
      </w:r>
    </w:p>
    <w:tbl>
      <w:tblPr>
        <w:tblW w:type="dxa" w:w="9638"/>
        <w:tblBorders>
          <w:top w:val="single" w:color="CFDED6" w:sz="2"/>
          <w:left w:val="none" w:color="auto" w:sz="0"/>
          <w:bottom w:val="single" w:color="CFDED6" w:sz="2"/>
          <w:right w:val="none" w:color="auto" w:sz="0"/>
          <w:insideH w:val="single" w:color="CFDED6" w:sz="2"/>
          <w:insideV w:val="none" w:color="auto" w:sz="0"/>
        </w:tblBorders>
      </w:tblPr>
      <w:tblGrid>
        <w:gridCol w:w="6638"/>
        <w:gridCol w:w="3000"/>
      </w:tblGrid>
      <w:tr>
        <w:trPr>
          <w:tblHeader/>
        </w:trPr>
        <w:tc>
          <w:tcPr>
            <w:tcW w:type="dxa" w:w="6638"/>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9"/>
                <w:szCs w:val="19"/>
              </w:rPr>
              <w:t xml:space="preserve">Line</w:t>
            </w:r>
          </w:p>
        </w:tc>
        <w:tc>
          <w:tcPr>
            <w:tcW w:type="dxa" w:w="3000"/>
            <w:shd w:fill="0F5132" w:color="auto" w:val="clear"/>
            <w:tcMar>
              <w:top w:type="dxa" w:w="70"/>
              <w:left w:type="dxa" w:w="110"/>
              <w:bottom w:type="dxa" w:w="70"/>
              <w:right w:type="dxa" w:w="110"/>
            </w:tcMar>
          </w:tcPr>
          <w:p>
            <w:pPr>
              <w:spacing w:after="0" w:line="240"/>
              <w:jc w:val="right"/>
            </w:pPr>
            <w:r>
              <w:rPr>
                <w:rFonts w:ascii="Calibri" w:cs="Calibri" w:eastAsia="Calibri" w:hAnsi="Calibri"/>
                <w:b/>
                <w:bCs/>
                <w:color w:val="FFFFFF"/>
                <w:sz w:val="19"/>
                <w:szCs w:val="19"/>
              </w:rPr>
              <w:t xml:space="preserve">Per session</w:t>
            </w:r>
          </w:p>
        </w:tc>
      </w:tr>
      <w:tr>
        <w:trPr>
          <w:tblHeader w:val="false"/>
        </w:trPr>
        <w:tc>
          <w:tcPr>
            <w:tcW w:type="dxa" w:w="66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Student pays</w:t>
            </w:r>
          </w:p>
        </w:tc>
        <w:tc>
          <w:tcPr>
            <w:tcW w:type="dxa" w:w="3000"/>
            <w:tcMar>
              <w:top w:type="dxa" w:w="70"/>
              <w:left w:type="dxa" w:w="110"/>
              <w:bottom w:type="dxa" w:w="70"/>
              <w:right w:type="dxa" w:w="110"/>
            </w:tcMar>
          </w:tcPr>
          <w:p>
            <w:pPr>
              <w:spacing w:after="0" w:line="240"/>
              <w:jc w:val="right"/>
            </w:pPr>
            <w:r>
              <w:rPr>
                <w:rFonts w:ascii="Calibri" w:cs="Calibri" w:eastAsia="Calibri" w:hAnsi="Calibri"/>
                <w:b w:val="false"/>
                <w:bCs w:val="false"/>
                <w:color w:val="1B2721"/>
                <w:sz w:val="19"/>
                <w:szCs w:val="19"/>
              </w:rPr>
              <w:t xml:space="preserve">£6.00</w:t>
            </w:r>
          </w:p>
        </w:tc>
      </w:tr>
      <w:tr>
        <w:trPr>
          <w:tblHeader w:val="false"/>
        </w:trPr>
        <w:tc>
          <w:tcPr>
            <w:tcW w:type="dxa" w:w="66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Tutor payment</w:t>
            </w:r>
          </w:p>
        </w:tc>
        <w:tc>
          <w:tcPr>
            <w:tcW w:type="dxa" w:w="3000"/>
            <w:tcMar>
              <w:top w:type="dxa" w:w="70"/>
              <w:left w:type="dxa" w:w="110"/>
              <w:bottom w:type="dxa" w:w="70"/>
              <w:right w:type="dxa" w:w="110"/>
            </w:tcMar>
          </w:tcPr>
          <w:p>
            <w:pPr>
              <w:spacing w:after="0" w:line="240"/>
              <w:jc w:val="right"/>
            </w:pPr>
            <w:r>
              <w:rPr>
                <w:rFonts w:ascii="Calibri" w:cs="Calibri" w:eastAsia="Calibri" w:hAnsi="Calibri"/>
                <w:b w:val="false"/>
                <w:bCs w:val="false"/>
                <w:color w:val="1B2721"/>
                <w:sz w:val="19"/>
                <w:szCs w:val="19"/>
              </w:rPr>
              <w:t xml:space="preserve">(£4.00)</w:t>
            </w:r>
          </w:p>
        </w:tc>
      </w:tr>
      <w:tr>
        <w:trPr>
          <w:tblHeader w:val="false"/>
        </w:trPr>
        <w:tc>
          <w:tcPr>
            <w:tcW w:type="dxa" w:w="66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Card processing (approx. 1.5% + 20p)</w:t>
            </w:r>
          </w:p>
        </w:tc>
        <w:tc>
          <w:tcPr>
            <w:tcW w:type="dxa" w:w="3000"/>
            <w:tcMar>
              <w:top w:type="dxa" w:w="70"/>
              <w:left w:type="dxa" w:w="110"/>
              <w:bottom w:type="dxa" w:w="70"/>
              <w:right w:type="dxa" w:w="110"/>
            </w:tcMar>
          </w:tcPr>
          <w:p>
            <w:pPr>
              <w:spacing w:after="0" w:line="240"/>
              <w:jc w:val="right"/>
            </w:pPr>
            <w:r>
              <w:rPr>
                <w:rFonts w:ascii="Calibri" w:cs="Calibri" w:eastAsia="Calibri" w:hAnsi="Calibri"/>
                <w:b w:val="false"/>
                <w:bCs w:val="false"/>
                <w:color w:val="1B2721"/>
                <w:sz w:val="19"/>
                <w:szCs w:val="19"/>
              </w:rPr>
              <w:t xml:space="preserve">(£0.29)</w:t>
            </w:r>
          </w:p>
        </w:tc>
      </w:tr>
      <w:tr>
        <w:trPr>
          <w:tblHeader w:val="false"/>
        </w:trPr>
        <w:tc>
          <w:tcPr>
            <w:tcW w:type="dxa" w:w="66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Payout fee, amortised</w:t>
            </w:r>
          </w:p>
        </w:tc>
        <w:tc>
          <w:tcPr>
            <w:tcW w:type="dxa" w:w="3000"/>
            <w:tcMar>
              <w:top w:type="dxa" w:w="70"/>
              <w:left w:type="dxa" w:w="110"/>
              <w:bottom w:type="dxa" w:w="70"/>
              <w:right w:type="dxa" w:w="110"/>
            </w:tcMar>
          </w:tcPr>
          <w:p>
            <w:pPr>
              <w:spacing w:after="0" w:line="240"/>
              <w:jc w:val="right"/>
            </w:pPr>
            <w:r>
              <w:rPr>
                <w:rFonts w:ascii="Calibri" w:cs="Calibri" w:eastAsia="Calibri" w:hAnsi="Calibri"/>
                <w:b w:val="false"/>
                <w:bCs w:val="false"/>
                <w:color w:val="1B2721"/>
                <w:sz w:val="19"/>
                <w:szCs w:val="19"/>
              </w:rPr>
              <w:t xml:space="preserve">(£0.10)</w:t>
            </w:r>
          </w:p>
        </w:tc>
      </w:tr>
      <w:tr>
        <w:trPr>
          <w:tblHeader w:val="false"/>
        </w:trPr>
        <w:tc>
          <w:tcPr>
            <w:tcW w:type="dxa" w:w="6638"/>
            <w:shd w:fill="EAF3EE" w:color="auto" w:val="clear"/>
            <w:tcMar>
              <w:top w:type="dxa" w:w="70"/>
              <w:left w:type="dxa" w:w="110"/>
              <w:bottom w:type="dxa" w:w="70"/>
              <w:right w:type="dxa" w:w="110"/>
            </w:tcMar>
          </w:tcPr>
          <w:p>
            <w:pPr>
              <w:spacing w:after="0" w:line="240"/>
            </w:pPr>
            <w:r>
              <w:rPr>
                <w:rFonts w:ascii="Calibri" w:cs="Calibri" w:eastAsia="Calibri" w:hAnsi="Calibri"/>
                <w:b/>
                <w:bCs/>
                <w:color w:val="1B2721"/>
                <w:sz w:val="19"/>
                <w:szCs w:val="19"/>
              </w:rPr>
              <w:t xml:space="preserve">Contribution</w:t>
            </w:r>
          </w:p>
        </w:tc>
        <w:tc>
          <w:tcPr>
            <w:tcW w:type="dxa" w:w="3000"/>
            <w:shd w:fill="EAF3EE" w:color="auto" w:val="clear"/>
            <w:tcMar>
              <w:top w:type="dxa" w:w="70"/>
              <w:left w:type="dxa" w:w="110"/>
              <w:bottom w:type="dxa" w:w="70"/>
              <w:right w:type="dxa" w:w="110"/>
            </w:tcMar>
          </w:tcPr>
          <w:p>
            <w:pPr>
              <w:spacing w:after="0" w:line="240"/>
              <w:jc w:val="right"/>
            </w:pPr>
            <w:r>
              <w:rPr>
                <w:rFonts w:ascii="Calibri" w:cs="Calibri" w:eastAsia="Calibri" w:hAnsi="Calibri"/>
                <w:b/>
                <w:bCs/>
                <w:color w:val="1B2721"/>
                <w:sz w:val="19"/>
                <w:szCs w:val="19"/>
              </w:rPr>
              <w:t xml:space="preserve">approx. £1.61</w:t>
            </w:r>
          </w:p>
        </w:tc>
      </w:tr>
    </w:tbl>
    <w:p>
      <w:pPr>
        <w:spacing w:after="60"/>
      </w:pPr>
    </w:p>
    <w:p>
      <w:pPr>
        <w:spacing w:after="140" w:line="276"/>
      </w:pPr>
      <w:r>
        <w:rPr>
          <w:rFonts w:ascii="Calibri" w:cs="Calibri" w:eastAsia="Calibri" w:hAnsi="Calibri"/>
          <w:color w:val="1B2721"/>
          <w:sz w:val="21"/>
          <w:szCs w:val="21"/>
        </w:rPr>
        <w:t xml:space="preserve">A £2,000 monthly cost base therefore requires approximately </w:t>
      </w:r>
      <w:r>
        <w:rPr>
          <w:rFonts w:ascii="Calibri" w:cs="Calibri" w:eastAsia="Calibri" w:hAnsi="Calibri"/>
          <w:b/>
          <w:bCs/>
          <w:color w:val="1B2721"/>
          <w:sz w:val="21"/>
          <w:szCs w:val="21"/>
        </w:rPr>
        <w:t xml:space="preserve">1,250 sessions per month, or 42 per day</w:t>
      </w:r>
      <w:r>
        <w:rPr>
          <w:rFonts w:ascii="Calibri" w:cs="Calibri" w:eastAsia="Calibri" w:hAnsi="Calibri"/>
          <w:color w:val="1B2721"/>
          <w:sz w:val="21"/>
          <w:szCs w:val="21"/>
        </w:rPr>
        <w:t xml:space="preserve">. Attainable, but only with retention: a customer who purchases once will not repay an acquisition cost that, in UK edtech, typically runs to £15–40 per paying user.</w:t>
      </w:r>
    </w:p>
    <w:p>
      <w:pPr>
        <w:spacing w:after="100" w:line="276"/>
      </w:pPr>
      <w:r>
        <w:rPr>
          <w:rFonts w:ascii="Calibri" w:cs="Calibri" w:eastAsia="Calibri" w:hAnsi="Calibri"/>
          <w:b/>
          <w:bCs/>
          <w:color w:val="1B2721"/>
          <w:sz w:val="21"/>
          <w:szCs w:val="21"/>
        </w:rPr>
        <w:t xml:space="preserve">Three recommended mitigations, in order of impact:</w:t>
      </w:r>
    </w:p>
    <w:p>
      <w:pPr>
        <w:pStyle w:val="ListParagraph"/>
        <w:numPr>
          <w:ilvl w:val="0"/>
          <w:numId w:val="2"/>
        </w:numPr>
        <w:spacing w:after="90" w:line="276"/>
      </w:pPr>
      <w:r>
        <w:rPr>
          <w:rFonts w:ascii="Calibri" w:cs="Calibri" w:eastAsia="Calibri" w:hAnsi="Calibri"/>
          <w:b/>
          <w:bCs/>
          <w:color w:val="1B2721"/>
          <w:sz w:val="21"/>
          <w:szCs w:val="21"/>
        </w:rPr>
        <w:t xml:space="preserve">Sell credit packs rather than single sessions. </w:t>
      </w:r>
      <w:r>
        <w:rPr>
          <w:rFonts w:ascii="Calibri" w:cs="Calibri" w:eastAsia="Calibri" w:hAnsi="Calibri"/>
          <w:color w:val="1B2721"/>
          <w:sz w:val="21"/>
          <w:szCs w:val="21"/>
        </w:rPr>
        <w:t xml:space="preserve">£25 for five, £45 for ten. Takes cash in advance and raises lifetime value; Snapask, Tutor.com and Skooli each converged on this structure.</w:t>
      </w:r>
    </w:p>
    <w:p>
      <w:pPr>
        <w:pStyle w:val="ListParagraph"/>
        <w:numPr>
          <w:ilvl w:val="0"/>
          <w:numId w:val="2"/>
        </w:numPr>
        <w:spacing w:after="90" w:line="276"/>
      </w:pPr>
      <w:r>
        <w:rPr>
          <w:rFonts w:ascii="Calibri" w:cs="Calibri" w:eastAsia="Calibri" w:hAnsi="Calibri"/>
          <w:b/>
          <w:bCs/>
          <w:color w:val="1B2721"/>
          <w:sz w:val="21"/>
          <w:szCs w:val="21"/>
        </w:rPr>
        <w:t xml:space="preserve">Make the parent the paying customer. </w:t>
      </w:r>
      <w:r>
        <w:rPr>
          <w:rFonts w:ascii="Calibri" w:cs="Calibri" w:eastAsia="Calibri" w:hAnsi="Calibri"/>
          <w:color w:val="1B2721"/>
          <w:sz w:val="21"/>
          <w:szCs w:val="21"/>
        </w:rPr>
        <w:t xml:space="preserve">Under-18s rarely hold a payment card. A first-class parent account resolves the payment problem and a substantial part of the safeguarding problem simultaneously.</w:t>
      </w:r>
    </w:p>
    <w:p>
      <w:pPr>
        <w:pStyle w:val="ListParagraph"/>
        <w:numPr>
          <w:ilvl w:val="0"/>
          <w:numId w:val="2"/>
        </w:numPr>
        <w:spacing w:after="90" w:line="276"/>
      </w:pPr>
      <w:r>
        <w:rPr>
          <w:rFonts w:ascii="Calibri" w:cs="Calibri" w:eastAsia="Calibri" w:hAnsi="Calibri"/>
          <w:b/>
          <w:bCs/>
          <w:color w:val="1B2721"/>
          <w:sz w:val="21"/>
          <w:szCs w:val="21"/>
        </w:rPr>
        <w:t xml:space="preserve">Develop an institutional channel. </w:t>
      </w:r>
      <w:r>
        <w:rPr>
          <w:rFonts w:ascii="Calibri" w:cs="Calibri" w:eastAsia="Calibri" w:hAnsi="Calibri"/>
          <w:color w:val="1B2721"/>
          <w:sz w:val="21"/>
          <w:szCs w:val="21"/>
        </w:rPr>
        <w:t xml:space="preserve">A single school contract is equivalent to several hundred consumer sessions at a fraction of the support burden.</w:t>
      </w:r>
    </w:p>
    <w:p>
      <w:pPr>
        <w:pStyle w:val="Heading1"/>
        <w:pBdr>
          <w:bottom w:val="single" w:color="CFDED6" w:sz="6" w:space="6"/>
        </w:pBdr>
        <w:spacing w:after="160" w:before="380"/>
      </w:pPr>
      <w:r>
        <w:rPr>
          <w:rFonts w:ascii="Calibri" w:cs="Calibri" w:eastAsia="Calibri" w:hAnsi="Calibri"/>
          <w:b/>
          <w:bCs/>
          <w:color w:val="0F5132"/>
          <w:sz w:val="26"/>
          <w:szCs w:val="26"/>
        </w:rPr>
        <w:t xml:space="preserve">8. Regulatory considerations</w:t>
      </w:r>
    </w:p>
    <w:p>
      <w:pPr>
        <w:spacing w:after="140" w:line="276"/>
      </w:pPr>
      <w:r>
        <w:rPr>
          <w:rFonts w:ascii="Calibri" w:cs="Calibri" w:eastAsia="Calibri" w:hAnsi="Calibri"/>
          <w:b/>
          <w:bCs/>
          <w:color w:val="1B2721"/>
          <w:sz w:val="21"/>
          <w:szCs w:val="21"/>
        </w:rPr>
        <w:t xml:space="preserve">DBS checks. </w:t>
      </w:r>
      <w:r>
        <w:rPr>
          <w:rFonts w:ascii="Calibri" w:cs="Calibri" w:eastAsia="Calibri" w:hAnsi="Calibri"/>
          <w:color w:val="1B2721"/>
          <w:sz w:val="21"/>
          <w:szCs w:val="21"/>
        </w:rPr>
        <w:t xml:space="preserve">Private one-to-one tutoring is not automatically regulated activity under the Safeguarding Vulnerable Groups Act 2006. However, the Act does require platforms to carry out enhanced DBS and barred-list checks on tutors working </w:t>
      </w:r>
      <w:r>
        <w:rPr>
          <w:rFonts w:ascii="Calibri" w:cs="Calibri" w:eastAsia="Calibri" w:hAnsi="Calibri"/>
          <w:b/>
          <w:bCs/>
          <w:color w:val="1B2721"/>
          <w:sz w:val="21"/>
          <w:szCs w:val="21"/>
        </w:rPr>
        <w:t xml:space="preserve">unsupervised with under-18s</w:t>
      </w:r>
      <w:r>
        <w:rPr>
          <w:rFonts w:ascii="Calibri" w:cs="Calibri" w:eastAsia="Calibri" w:hAnsi="Calibri"/>
          <w:color w:val="1B2721"/>
          <w:sz w:val="21"/>
          <w:szCs w:val="21"/>
        </w:rPr>
        <w:t xml:space="preserve">, which describes our service precisely. Expect approximately </w:t>
      </w:r>
      <w:r>
        <w:rPr>
          <w:rFonts w:ascii="Calibri" w:cs="Calibri" w:eastAsia="Calibri" w:hAnsi="Calibri"/>
          <w:b/>
          <w:bCs/>
          <w:color w:val="1B2721"/>
          <w:sz w:val="21"/>
          <w:szCs w:val="21"/>
        </w:rPr>
        <w:t xml:space="preserve">£40–60 and two to eight weeks per tutor</w:t>
      </w:r>
      <w:r>
        <w:rPr>
          <w:rFonts w:ascii="Calibri" w:cs="Calibri" w:eastAsia="Calibri" w:hAnsi="Calibri"/>
          <w:color w:val="1B2721"/>
          <w:sz w:val="21"/>
          <w:szCs w:val="21"/>
        </w:rPr>
        <w:t xml:space="preserve">. </w:t>
      </w:r>
      <w:r>
        <w:rPr>
          <w:rFonts w:ascii="Calibri" w:cs="Calibri" w:eastAsia="Calibri" w:hAnsi="Calibri"/>
          <w:i/>
          <w:iCs/>
          <w:color w:val="1B2721"/>
          <w:sz w:val="21"/>
          <w:szCs w:val="21"/>
        </w:rPr>
        <w:t xml:space="preserve">This is the principal reason the original proposal to admit “anyone” as a tutor cannot proceed.</w:t>
      </w:r>
    </w:p>
    <w:p>
      <w:pPr>
        <w:spacing w:after="140" w:line="276"/>
      </w:pPr>
      <w:r>
        <w:rPr>
          <w:rFonts w:ascii="Calibri" w:cs="Calibri" w:eastAsia="Calibri" w:hAnsi="Calibri"/>
          <w:b/>
          <w:bCs/>
          <w:color w:val="1B2721"/>
          <w:sz w:val="21"/>
          <w:szCs w:val="21"/>
        </w:rPr>
        <w:t xml:space="preserve">ICO Age Appropriate Design Code. </w:t>
      </w:r>
      <w:r>
        <w:rPr>
          <w:rFonts w:ascii="Calibri" w:cs="Calibri" w:eastAsia="Calibri" w:hAnsi="Calibri"/>
          <w:color w:val="1B2721"/>
          <w:sz w:val="21"/>
          <w:szCs w:val="21"/>
        </w:rPr>
        <w:t xml:space="preserve">A Data Protection Impact Assessment is required before launch, alongside data minimisation, high-privacy defaults and proportionate age assurance. The ICO updated its children's data guidance on 15 May 2026.</w:t>
      </w:r>
    </w:p>
    <w:p>
      <w:pPr>
        <w:spacing w:after="140" w:line="276"/>
      </w:pPr>
      <w:r>
        <w:rPr>
          <w:rFonts w:ascii="Calibri" w:cs="Calibri" w:eastAsia="Calibri" w:hAnsi="Calibri"/>
          <w:b/>
          <w:bCs/>
          <w:color w:val="1B2721"/>
          <w:sz w:val="21"/>
          <w:szCs w:val="21"/>
        </w:rPr>
        <w:t xml:space="preserve">Online Safety Act 2023. </w:t>
      </w:r>
      <w:r>
        <w:rPr>
          <w:rFonts w:ascii="Calibri" w:cs="Calibri" w:eastAsia="Calibri" w:hAnsi="Calibri"/>
          <w:color w:val="1B2721"/>
          <w:sz w:val="21"/>
          <w:szCs w:val="21"/>
        </w:rPr>
        <w:t xml:space="preserve">A service on which users message one another is a user-to-user service. Ofcom and the ICO issued a joint statement on age assurance on 25 March 2026.</w:t>
      </w:r>
    </w:p>
    <w:p>
      <w:pPr>
        <w:spacing w:after="140" w:line="276"/>
      </w:pPr>
      <w:r>
        <w:rPr>
          <w:rFonts w:ascii="Calibri" w:cs="Calibri" w:eastAsia="Calibri" w:hAnsi="Calibri"/>
          <w:color w:val="1B2721"/>
          <w:sz w:val="21"/>
          <w:szCs w:val="21"/>
        </w:rPr>
        <w:t xml:space="preserve">This should be treated as a build requirement rather than a compliance overhead: roughly 20% of engineering effort, and effectively all of the business's credibility with parents and schools.</w:t>
      </w:r>
    </w:p>
    <w:p>
      <w:pPr>
        <w:pStyle w:val="Heading1"/>
        <w:pBdr>
          <w:bottom w:val="single" w:color="CFDED6" w:sz="6" w:space="6"/>
        </w:pBdr>
        <w:spacing w:after="160" w:before="380"/>
      </w:pPr>
      <w:r>
        <w:rPr>
          <w:rFonts w:ascii="Calibri" w:cs="Calibri" w:eastAsia="Calibri" w:hAnsi="Calibri"/>
          <w:b/>
          <w:bCs/>
          <w:color w:val="0F5132"/>
          <w:sz w:val="26"/>
          <w:szCs w:val="26"/>
        </w:rPr>
        <w:t xml:space="preserve">9. Proposed launch plan</w:t>
      </w:r>
    </w:p>
    <w:p>
      <w:pPr>
        <w:spacing w:after="140" w:line="276"/>
      </w:pPr>
      <w:r>
        <w:rPr>
          <w:rFonts w:ascii="Calibri" w:cs="Calibri" w:eastAsia="Calibri" w:hAnsi="Calibri"/>
          <w:color w:val="1B2721"/>
          <w:sz w:val="21"/>
          <w:szCs w:val="21"/>
        </w:rPr>
        <w:t xml:space="preserve">The marketplace cold-start problem, rather than the technology, is the principal execution risk.</w:t>
      </w:r>
    </w:p>
    <w:p>
      <w:pPr>
        <w:pStyle w:val="ListParagraph"/>
        <w:numPr>
          <w:ilvl w:val="0"/>
          <w:numId w:val="3"/>
        </w:numPr>
        <w:spacing w:after="90" w:line="276"/>
      </w:pPr>
      <w:r>
        <w:rPr>
          <w:rFonts w:ascii="Calibri" w:cs="Calibri" w:eastAsia="Calibri" w:hAnsi="Calibri"/>
          <w:b/>
          <w:bCs/>
          <w:color w:val="1B2721"/>
          <w:sz w:val="21"/>
          <w:szCs w:val="21"/>
        </w:rPr>
        <w:t xml:space="preserve">Weeks 1–4 — secure supply first, one university, one subject. </w:t>
      </w:r>
      <w:r>
        <w:rPr>
          <w:rFonts w:ascii="Calibri" w:cs="Calibri" w:eastAsia="Calibri" w:hAnsi="Calibri"/>
          <w:color w:val="1B2721"/>
          <w:sz w:val="21"/>
          <w:szCs w:val="21"/>
        </w:rPr>
        <w:t xml:space="preserve">Recruit 20–30 undergraduate tutors and pay a guaranteed hourly retainer for online availability, 7pm to 10pm Sunday to Thursday, irrespective of volume. A deliberate cost, incurred to purchase a matching-time guarantee.</w:t>
      </w:r>
    </w:p>
    <w:p>
      <w:pPr>
        <w:pStyle w:val="ListParagraph"/>
        <w:numPr>
          <w:ilvl w:val="0"/>
          <w:numId w:val="3"/>
        </w:numPr>
        <w:spacing w:after="90" w:line="276"/>
      </w:pPr>
      <w:r>
        <w:rPr>
          <w:rFonts w:ascii="Calibri" w:cs="Calibri" w:eastAsia="Calibri" w:hAnsi="Calibri"/>
          <w:b/>
          <w:bCs/>
          <w:color w:val="1B2721"/>
          <w:sz w:val="21"/>
          <w:szCs w:val="21"/>
        </w:rPr>
        <w:t xml:space="preserve">Weeks 3–8 — generate demand, narrowly. </w:t>
      </w:r>
      <w:r>
        <w:rPr>
          <w:rFonts w:ascii="Calibri" w:cs="Calibri" w:eastAsia="Calibri" w:hAnsi="Calibri"/>
          <w:color w:val="1B2721"/>
          <w:sz w:val="21"/>
          <w:szCs w:val="21"/>
        </w:rPr>
        <w:t xml:space="preserve">One or two local secondary schools' parent groups and sixth forms, timed to the run-up to November mocks and to summer examinations.</w:t>
      </w:r>
    </w:p>
    <w:p>
      <w:pPr>
        <w:pStyle w:val="ListParagraph"/>
        <w:numPr>
          <w:ilvl w:val="0"/>
          <w:numId w:val="3"/>
        </w:numPr>
        <w:spacing w:after="90" w:line="276"/>
      </w:pPr>
      <w:r>
        <w:rPr>
          <w:rFonts w:ascii="Calibri" w:cs="Calibri" w:eastAsia="Calibri" w:hAnsi="Calibri"/>
          <w:b/>
          <w:bCs/>
          <w:color w:val="1B2721"/>
          <w:sz w:val="21"/>
          <w:szCs w:val="21"/>
        </w:rPr>
        <w:t xml:space="preserve">Measure two indicators only: </w:t>
      </w:r>
      <w:r>
        <w:rPr>
          <w:rFonts w:ascii="Calibri" w:cs="Calibri" w:eastAsia="Calibri" w:hAnsi="Calibri"/>
          <w:color w:val="1B2721"/>
          <w:sz w:val="21"/>
          <w:szCs w:val="21"/>
        </w:rPr>
        <w:t xml:space="preserve">median time to match, and repeat purchase within fourteen days. Above three minutes to match, purchase more supply. Below 25% repeat purchase, the product requires revision and no marketing spend will compensate.</w:t>
      </w:r>
    </w:p>
    <w:p>
      <w:pPr>
        <w:pStyle w:val="Heading1"/>
        <w:pBdr>
          <w:bottom w:val="single" w:color="CFDED6" w:sz="6" w:space="6"/>
        </w:pBdr>
        <w:spacing w:after="160" w:before="380"/>
      </w:pPr>
      <w:r>
        <w:rPr>
          <w:rFonts w:ascii="Calibri" w:cs="Calibri" w:eastAsia="Calibri" w:hAnsi="Calibri"/>
          <w:b/>
          <w:bCs/>
          <w:color w:val="0F5132"/>
          <w:sz w:val="26"/>
          <w:szCs w:val="26"/>
        </w:rPr>
        <w:t xml:space="preserve">10. Risk register</w:t>
      </w:r>
    </w:p>
    <w:tbl>
      <w:tblPr>
        <w:tblW w:type="dxa" w:w="9638"/>
        <w:tblBorders>
          <w:top w:val="single" w:color="CFDED6" w:sz="2"/>
          <w:left w:val="none" w:color="auto" w:sz="0"/>
          <w:bottom w:val="single" w:color="CFDED6" w:sz="2"/>
          <w:right w:val="none" w:color="auto" w:sz="0"/>
          <w:insideH w:val="single" w:color="CFDED6" w:sz="2"/>
          <w:insideV w:val="none" w:color="auto" w:sz="0"/>
        </w:tblBorders>
      </w:tblPr>
      <w:tblGrid>
        <w:gridCol w:w="3000"/>
        <w:gridCol w:w="1400"/>
        <w:gridCol w:w="5238"/>
      </w:tblGrid>
      <w:tr>
        <w:trPr>
          <w:tblHeader/>
        </w:trPr>
        <w:tc>
          <w:tcPr>
            <w:tcW w:type="dxa" w:w="3000"/>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9"/>
                <w:szCs w:val="19"/>
              </w:rPr>
              <w:t xml:space="preserve">Risk</w:t>
            </w:r>
          </w:p>
        </w:tc>
        <w:tc>
          <w:tcPr>
            <w:tcW w:type="dxa" w:w="1400"/>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9"/>
                <w:szCs w:val="19"/>
              </w:rPr>
              <w:t xml:space="preserve">Severity</w:t>
            </w:r>
          </w:p>
        </w:tc>
        <w:tc>
          <w:tcPr>
            <w:tcW w:type="dxa" w:w="5238"/>
            <w:shd w:fill="0F5132" w:color="auto" w:val="clear"/>
            <w:tcMar>
              <w:top w:type="dxa" w:w="70"/>
              <w:left w:type="dxa" w:w="110"/>
              <w:bottom w:type="dxa" w:w="70"/>
              <w:right w:type="dxa" w:w="110"/>
            </w:tcMar>
          </w:tcPr>
          <w:p>
            <w:pPr>
              <w:spacing w:after="0" w:line="240"/>
            </w:pPr>
            <w:r>
              <w:rPr>
                <w:rFonts w:ascii="Calibri" w:cs="Calibri" w:eastAsia="Calibri" w:hAnsi="Calibri"/>
                <w:b/>
                <w:bCs/>
                <w:color w:val="FFFFFF"/>
                <w:sz w:val="19"/>
                <w:szCs w:val="19"/>
              </w:rPr>
              <w:t xml:space="preserve">Mitigation</w:t>
            </w:r>
          </w:p>
        </w:tc>
      </w:tr>
      <w:tr>
        <w:trPr>
          <w:tblHeader w:val="false"/>
        </w:trPr>
        <w:tc>
          <w:tcPr>
            <w:tcW w:type="dxa" w:w="3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Free AI absorbs the quick-question use case</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High</w:t>
            </w:r>
          </w:p>
        </w:tc>
        <w:tc>
          <w:tcPr>
            <w:tcW w:type="dxa" w:w="5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Position on comprehension; exam-board specificity; human accountability</w:t>
            </w:r>
          </w:p>
        </w:tc>
      </w:tr>
      <w:tr>
        <w:trPr>
          <w:tblHeader w:val="false"/>
        </w:trPr>
        <w:tc>
          <w:tcPr>
            <w:tcW w:type="dxa" w:w="3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Tutor attrition at £16 per hour</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High</w:t>
            </w:r>
          </w:p>
        </w:tc>
        <w:tc>
          <w:tcPr>
            <w:tcW w:type="dxa" w:w="5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Guaranteed availability payments at launch; fee transparency; prompt payment</w:t>
            </w:r>
          </w:p>
        </w:tc>
      </w:tr>
      <w:tr>
        <w:trPr>
          <w:tblHeader w:val="false"/>
        </w:trPr>
        <w:tc>
          <w:tcPr>
            <w:tcW w:type="dxa" w:w="3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Insufficient coverage outside peak hours</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High</w:t>
            </w:r>
          </w:p>
        </w:tc>
        <w:tc>
          <w:tcPr>
            <w:tcW w:type="dxa" w:w="5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Fixed evening windows; automatic refund if unmatched within 60 seconds</w:t>
            </w:r>
          </w:p>
        </w:tc>
      </w:tr>
      <w:tr>
        <w:trPr>
          <w:tblHeader w:val="false"/>
        </w:trPr>
        <w:tc>
          <w:tcPr>
            <w:tcW w:type="dxa" w:w="3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DBS cost and lead time constrain onboarding</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Medium</w:t>
            </w:r>
          </w:p>
        </w:tc>
        <w:tc>
          <w:tcPr>
            <w:tcW w:type="dxa" w:w="5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Recruit before the product is complete; fund checks centrally</w:t>
            </w:r>
          </w:p>
        </w:tc>
      </w:tr>
      <w:tr>
        <w:trPr>
          <w:tblHeader w:val="false"/>
        </w:trPr>
        <w:tc>
          <w:tcPr>
            <w:tcW w:type="dxa" w:w="3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Safeguarding incident</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Critical</w:t>
            </w:r>
          </w:p>
        </w:tc>
        <w:tc>
          <w:tcPr>
            <w:tcW w:type="dxa" w:w="5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Transcript retention, contact-detail blocking, in-session reporting, named DSL, completed DPIA</w:t>
            </w:r>
          </w:p>
        </w:tc>
      </w:tr>
      <w:tr>
        <w:trPr>
          <w:tblHeader w:val="false"/>
        </w:trPr>
        <w:tc>
          <w:tcPr>
            <w:tcW w:type="dxa" w:w="30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Disintermediation of the platform</w:t>
            </w:r>
          </w:p>
        </w:tc>
        <w:tc>
          <w:tcPr>
            <w:tcW w:type="dxa" w:w="1400"/>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Medium</w:t>
            </w:r>
          </w:p>
        </w:tc>
        <w:tc>
          <w:tcPr>
            <w:tcW w:type="dxa" w:w="5238"/>
            <w:tcMar>
              <w:top w:type="dxa" w:w="70"/>
              <w:left w:type="dxa" w:w="110"/>
              <w:bottom w:type="dxa" w:w="70"/>
              <w:right w:type="dxa" w:w="110"/>
            </w:tcMar>
          </w:tcPr>
          <w:p>
            <w:pPr>
              <w:spacing w:after="0" w:line="240"/>
            </w:pPr>
            <w:r>
              <w:rPr>
                <w:rFonts w:ascii="Calibri" w:cs="Calibri" w:eastAsia="Calibri" w:hAnsi="Calibri"/>
                <w:b w:val="false"/>
                <w:bCs w:val="false"/>
                <w:color w:val="1B2721"/>
                <w:sz w:val="19"/>
                <w:szCs w:val="19"/>
              </w:rPr>
              <w:t xml:space="preserve">Contact-detail blocking; repeat-tutor feature; a fair, published take rate</w:t>
            </w:r>
          </w:p>
        </w:tc>
      </w:tr>
    </w:tbl>
    <w:p>
      <w:pPr>
        <w:pStyle w:val="Heading1"/>
        <w:pBdr>
          <w:bottom w:val="single" w:color="CFDED6" w:sz="6" w:space="6"/>
        </w:pBdr>
        <w:spacing w:after="160" w:before="380"/>
      </w:pPr>
      <w:r>
        <w:rPr>
          <w:rFonts w:ascii="Calibri" w:cs="Calibri" w:eastAsia="Calibri" w:hAnsi="Calibri"/>
          <w:b/>
          <w:bCs/>
          <w:color w:val="0F5132"/>
          <w:sz w:val="26"/>
          <w:szCs w:val="26"/>
        </w:rPr>
        <w:t xml:space="preserve">11. Recommendation</w:t>
      </w:r>
    </w:p>
    <w:p>
      <w:pPr>
        <w:spacing w:after="140" w:line="276"/>
      </w:pPr>
      <w:r>
        <w:rPr>
          <w:rFonts w:ascii="Calibri" w:cs="Calibri" w:eastAsia="Calibri" w:hAnsi="Calibri"/>
          <w:color w:val="1B2721"/>
          <w:sz w:val="21"/>
          <w:szCs w:val="21"/>
        </w:rPr>
        <w:t xml:space="preserve">It is recommended that the business proceed to a funded pilot on the model described, subject to five changes to the original proposal:</w:t>
      </w:r>
    </w:p>
    <w:p>
      <w:pPr>
        <w:pStyle w:val="ListParagraph"/>
        <w:numPr>
          <w:ilvl w:val="0"/>
          <w:numId w:val="4"/>
        </w:numPr>
        <w:spacing w:after="90" w:line="276"/>
      </w:pPr>
      <w:r>
        <w:rPr>
          <w:rFonts w:ascii="Calibri" w:cs="Calibri" w:eastAsia="Calibri" w:hAnsi="Calibri"/>
          <w:color w:val="1B2721"/>
          <w:sz w:val="21"/>
          <w:szCs w:val="21"/>
        </w:rPr>
        <w:t xml:space="preserve">Tutors are to be </w:t>
      </w:r>
      <w:r>
        <w:rPr>
          <w:rFonts w:ascii="Calibri" w:cs="Calibri" w:eastAsia="Calibri" w:hAnsi="Calibri"/>
          <w:b/>
          <w:bCs/>
          <w:color w:val="1B2721"/>
          <w:sz w:val="21"/>
          <w:szCs w:val="21"/>
        </w:rPr>
        <w:t xml:space="preserve">vetted undergraduates holding enhanced DBS checks</w:t>
      </w:r>
      <w:r>
        <w:rPr>
          <w:rFonts w:ascii="Calibri" w:cs="Calibri" w:eastAsia="Calibri" w:hAnsi="Calibri"/>
          <w:color w:val="1B2721"/>
          <w:sz w:val="21"/>
          <w:szCs w:val="21"/>
        </w:rPr>
        <w:t xml:space="preserve">, not open registration.</w:t>
      </w:r>
    </w:p>
    <w:p>
      <w:pPr>
        <w:pStyle w:val="ListParagraph"/>
        <w:numPr>
          <w:ilvl w:val="0"/>
          <w:numId w:val="4"/>
        </w:numPr>
        <w:spacing w:after="90" w:line="276"/>
      </w:pPr>
      <w:r>
        <w:rPr>
          <w:rFonts w:ascii="Calibri" w:cs="Calibri" w:eastAsia="Calibri" w:hAnsi="Calibri"/>
          <w:b/>
          <w:bCs/>
          <w:color w:val="1B2721"/>
          <w:sz w:val="21"/>
          <w:szCs w:val="21"/>
        </w:rPr>
        <w:t xml:space="preserve">Parents are to be the paying customer</w:t>
      </w:r>
      <w:r>
        <w:rPr>
          <w:rFonts w:ascii="Calibri" w:cs="Calibri" w:eastAsia="Calibri" w:hAnsi="Calibri"/>
          <w:color w:val="1B2721"/>
          <w:sz w:val="21"/>
          <w:szCs w:val="21"/>
        </w:rPr>
        <w:t xml:space="preserve"> and are to have transcript access; students spend a balance.</w:t>
      </w:r>
    </w:p>
    <w:p>
      <w:pPr>
        <w:pStyle w:val="ListParagraph"/>
        <w:numPr>
          <w:ilvl w:val="0"/>
          <w:numId w:val="4"/>
        </w:numPr>
        <w:spacing w:after="90" w:line="276"/>
      </w:pPr>
      <w:r>
        <w:rPr>
          <w:rFonts w:ascii="Calibri" w:cs="Calibri" w:eastAsia="Calibri" w:hAnsi="Calibri"/>
          <w:b/>
          <w:bCs/>
          <w:color w:val="1B2721"/>
          <w:sz w:val="21"/>
          <w:szCs w:val="21"/>
        </w:rPr>
        <w:t xml:space="preserve">Credit packs are the commercial model</w:t>
      </w:r>
      <w:r>
        <w:rPr>
          <w:rFonts w:ascii="Calibri" w:cs="Calibri" w:eastAsia="Calibri" w:hAnsi="Calibri"/>
          <w:color w:val="1B2721"/>
          <w:sz w:val="21"/>
          <w:szCs w:val="21"/>
        </w:rPr>
        <w:t xml:space="preserve">; the single £6 session is a trial mechanism, not the business.</w:t>
      </w:r>
    </w:p>
    <w:p>
      <w:pPr>
        <w:pStyle w:val="ListParagraph"/>
        <w:numPr>
          <w:ilvl w:val="0"/>
          <w:numId w:val="4"/>
        </w:numPr>
        <w:spacing w:after="90" w:line="276"/>
      </w:pPr>
      <w:r>
        <w:rPr>
          <w:rFonts w:ascii="Calibri" w:cs="Calibri" w:eastAsia="Calibri" w:hAnsi="Calibri"/>
          <w:color w:val="1B2721"/>
          <w:sz w:val="21"/>
          <w:szCs w:val="21"/>
        </w:rPr>
        <w:t xml:space="preserve">Launch is to be confined to </w:t>
      </w:r>
      <w:r>
        <w:rPr>
          <w:rFonts w:ascii="Calibri" w:cs="Calibri" w:eastAsia="Calibri" w:hAnsi="Calibri"/>
          <w:b/>
          <w:bCs/>
          <w:color w:val="1B2721"/>
          <w:sz w:val="21"/>
          <w:szCs w:val="21"/>
        </w:rPr>
        <w:t xml:space="preserve">Maths, Physics, Chemistry and Biology, at GCSE and A-level, routed by examination board</w:t>
      </w:r>
      <w:r>
        <w:rPr>
          <w:rFonts w:ascii="Calibri" w:cs="Calibri" w:eastAsia="Calibri" w:hAnsi="Calibri"/>
          <w:color w:val="1B2721"/>
          <w:sz w:val="21"/>
          <w:szCs w:val="21"/>
        </w:rPr>
        <w:t xml:space="preserve">, in one city, within one evening coverage window.</w:t>
      </w:r>
    </w:p>
    <w:p>
      <w:pPr>
        <w:pStyle w:val="ListParagraph"/>
        <w:numPr>
          <w:ilvl w:val="0"/>
          <w:numId w:val="4"/>
        </w:numPr>
        <w:spacing w:after="90" w:line="276"/>
      </w:pPr>
      <w:r>
        <w:rPr>
          <w:rFonts w:ascii="Calibri" w:cs="Calibri" w:eastAsia="Calibri" w:hAnsi="Calibri"/>
          <w:b/>
          <w:bCs/>
          <w:color w:val="1B2721"/>
          <w:sz w:val="21"/>
          <w:szCs w:val="21"/>
        </w:rPr>
        <w:t xml:space="preserve">Safeguarding and fee transparency are to be the principal marketing positions</w:t>
      </w:r>
      <w:r>
        <w:rPr>
          <w:rFonts w:ascii="Calibri" w:cs="Calibri" w:eastAsia="Calibri" w:hAnsi="Calibri"/>
          <w:color w:val="1B2721"/>
          <w:sz w:val="21"/>
          <w:szCs w:val="21"/>
        </w:rPr>
        <w:t xml:space="preserve">, being the two areas in which every identified incumbent is either weak or deliberately opaque.</w:t>
      </w:r>
    </w:p>
    <w:p>
      <w:pPr>
        <w:spacing w:after="60"/>
      </w:pPr>
    </w:p>
    <w:p>
      <w:pPr>
        <w:spacing w:after="140" w:line="276"/>
      </w:pPr>
      <w:r>
        <w:rPr>
          <w:rFonts w:ascii="Calibri" w:cs="Calibri" w:eastAsia="Calibri" w:hAnsi="Calibri"/>
          <w:color w:val="1B2721"/>
          <w:sz w:val="21"/>
          <w:szCs w:val="21"/>
        </w:rPr>
        <w:t xml:space="preserve">The mechanic is proven. The failures in this category have overwhelmingly been failures of unit economics rather than of product. Securing the economics is the precondition; the technology is comparatively straightforward.</w:t>
      </w:r>
    </w:p>
    <w:p>
      <w:pPr>
        <w:pStyle w:val="Heading1"/>
        <w:pBdr>
          <w:bottom w:val="single" w:color="CFDED6" w:sz="6" w:space="6"/>
        </w:pBdr>
        <w:spacing w:after="160" w:before="380"/>
      </w:pPr>
      <w:r>
        <w:rPr>
          <w:rFonts w:ascii="Calibri" w:cs="Calibri" w:eastAsia="Calibri" w:hAnsi="Calibri"/>
          <w:b/>
          <w:bCs/>
          <w:color w:val="0F5132"/>
          <w:sz w:val="26"/>
          <w:szCs w:val="26"/>
        </w:rPr>
        <w:t xml:space="preserve">12. Prototype status</w:t>
      </w:r>
    </w:p>
    <w:p>
      <w:pPr>
        <w:spacing w:after="140" w:line="276"/>
      </w:pPr>
      <w:r>
        <w:rPr>
          <w:rFonts w:ascii="Calibri" w:cs="Calibri" w:eastAsia="Calibri" w:hAnsi="Calibri"/>
          <w:color w:val="1B2721"/>
          <w:sz w:val="21"/>
          <w:szCs w:val="21"/>
        </w:rPr>
        <w:t xml:space="preserve">A working prototype has been built and is available in the project repository, comprising a web application of 21 pages and a mobile application operating against the same backend. Matching, the tutor notification board, chat, the shared whiteboard, session timing and paid extensions, credit holds with automatic refunds, and the safeguarding filter are all functional. The full statutory content — privacy policy, terms, cookie policy, safeguarding statement, complaints procedure and FAQs — is in place.</w:t>
      </w:r>
    </w:p>
    <w:p>
      <w:pPr>
        <w:spacing w:after="140" w:line="276"/>
      </w:pPr>
      <w:r>
        <w:rPr>
          <w:rFonts w:ascii="Calibri" w:cs="Calibri" w:eastAsia="Calibri" w:hAnsi="Calibri"/>
          <w:b/>
          <w:bCs/>
          <w:color w:val="1B2721"/>
          <w:sz w:val="21"/>
          <w:szCs w:val="21"/>
        </w:rPr>
        <w:t xml:space="preserve">Payments are deliberately mocked. </w:t>
      </w:r>
      <w:r>
        <w:rPr>
          <w:rFonts w:ascii="Calibri" w:cs="Calibri" w:eastAsia="Calibri" w:hAnsi="Calibri"/>
          <w:color w:val="1B2721"/>
          <w:sz w:val="21"/>
          <w:szCs w:val="21"/>
        </w:rPr>
        <w:t xml:space="preserve">No card details are collected, transmitted or stored at any point. Authentication is a demonstration mechanism and requires replacement before any live use.</w:t>
      </w:r>
    </w:p>
    <w:p>
      <w:pPr>
        <w:pStyle w:val="Heading1"/>
        <w:pBdr>
          <w:bottom w:val="single" w:color="CFDED6" w:sz="6" w:space="6"/>
        </w:pBdr>
        <w:spacing w:after="160" w:before="380"/>
      </w:pPr>
      <w:r>
        <w:rPr>
          <w:rFonts w:ascii="Calibri" w:cs="Calibri" w:eastAsia="Calibri" w:hAnsi="Calibri"/>
          <w:b/>
          <w:bCs/>
          <w:color w:val="0F5132"/>
          <w:sz w:val="26"/>
          <w:szCs w:val="26"/>
        </w:rPr>
        <w:t xml:space="preserve">13. Matters for decision</w:t>
      </w:r>
    </w:p>
    <w:p>
      <w:pPr>
        <w:pStyle w:val="ListParagraph"/>
        <w:numPr>
          <w:ilvl w:val="0"/>
          <w:numId w:val="5"/>
        </w:numPr>
        <w:spacing w:after="90" w:line="276"/>
      </w:pPr>
      <w:r>
        <w:rPr>
          <w:rFonts w:ascii="Calibri" w:cs="Calibri" w:eastAsia="Calibri" w:hAnsi="Calibri"/>
          <w:b/>
          <w:bCs/>
          <w:color w:val="1B2721"/>
          <w:sz w:val="21"/>
          <w:szCs w:val="21"/>
        </w:rPr>
        <w:t xml:space="preserve">Is the parent or the student the customer? </w:t>
      </w:r>
      <w:r>
        <w:rPr>
          <w:rFonts w:ascii="Calibri" w:cs="Calibri" w:eastAsia="Calibri" w:hAnsi="Calibri"/>
          <w:color w:val="1B2721"/>
          <w:sz w:val="21"/>
          <w:szCs w:val="21"/>
        </w:rPr>
        <w:t xml:space="preserve">This paper assumes the parent. It is the safer and more saleable position, but it changes the acquisition funnel materially.</w:t>
      </w:r>
    </w:p>
    <w:p>
      <w:pPr>
        <w:pStyle w:val="ListParagraph"/>
        <w:numPr>
          <w:ilvl w:val="0"/>
          <w:numId w:val="5"/>
        </w:numPr>
        <w:spacing w:after="90" w:line="276"/>
      </w:pPr>
      <w:r>
        <w:rPr>
          <w:rFonts w:ascii="Calibri" w:cs="Calibri" w:eastAsia="Calibri" w:hAnsi="Calibri"/>
          <w:b/>
          <w:bCs/>
          <w:color w:val="1B2721"/>
          <w:sz w:val="21"/>
          <w:szCs w:val="21"/>
        </w:rPr>
        <w:t xml:space="preserve">Who funds the DBS checks? </w:t>
      </w:r>
      <w:r>
        <w:rPr>
          <w:rFonts w:ascii="Calibri" w:cs="Calibri" w:eastAsia="Calibri" w:hAnsi="Calibri"/>
          <w:color w:val="1B2721"/>
          <w:sz w:val="21"/>
          <w:szCs w:val="21"/>
        </w:rPr>
        <w:t xml:space="preserve">£40–60 and two to eight weeks per tutor, incurred before any revenue. Funding them centrally removes the single largest barrier to supply.</w:t>
      </w:r>
    </w:p>
    <w:p>
      <w:pPr>
        <w:pStyle w:val="ListParagraph"/>
        <w:numPr>
          <w:ilvl w:val="0"/>
          <w:numId w:val="5"/>
        </w:numPr>
        <w:spacing w:after="90" w:line="276"/>
      </w:pPr>
      <w:r>
        <w:rPr>
          <w:rFonts w:ascii="Calibri" w:cs="Calibri" w:eastAsia="Calibri" w:hAnsi="Calibri"/>
          <w:b/>
          <w:bCs/>
          <w:color w:val="1B2721"/>
          <w:sz w:val="21"/>
          <w:szCs w:val="21"/>
        </w:rPr>
        <w:t xml:space="preserve">Is 33% the correct take rate? </w:t>
      </w:r>
      <w:r>
        <w:rPr>
          <w:rFonts w:ascii="Calibri" w:cs="Calibri" w:eastAsia="Calibri" w:hAnsi="Calibri"/>
          <w:color w:val="1B2721"/>
          <w:sz w:val="21"/>
          <w:szCs w:val="21"/>
        </w:rPr>
        <w:t xml:space="preserve">Defensible against comparators, but contribution per single session is thin. Credit packs address this; a higher take rate would not.</w:t>
      </w:r>
    </w:p>
    <w:p>
      <w:pPr>
        <w:pStyle w:val="ListParagraph"/>
        <w:numPr>
          <w:ilvl w:val="0"/>
          <w:numId w:val="5"/>
        </w:numPr>
        <w:spacing w:after="90" w:line="276"/>
      </w:pPr>
      <w:r>
        <w:rPr>
          <w:rFonts w:ascii="Calibri" w:cs="Calibri" w:eastAsia="Calibri" w:hAnsi="Calibri"/>
          <w:b/>
          <w:bCs/>
          <w:color w:val="1B2721"/>
          <w:sz w:val="21"/>
          <w:szCs w:val="21"/>
        </w:rPr>
        <w:t xml:space="preserve">One university or several? </w:t>
      </w:r>
      <w:r>
        <w:rPr>
          <w:rFonts w:ascii="Calibri" w:cs="Calibri" w:eastAsia="Calibri" w:hAnsi="Calibri"/>
          <w:color w:val="1B2721"/>
          <w:sz w:val="21"/>
          <w:szCs w:val="21"/>
        </w:rPr>
        <w:t xml:space="preserve">Concentration purchases tutor density in one subject at one time of evening. Dispersion purchases nothing at this stage.</w:t>
      </w:r>
    </w:p>
    <w:p>
      <w:pPr>
        <w:pStyle w:val="ListParagraph"/>
        <w:numPr>
          <w:ilvl w:val="0"/>
          <w:numId w:val="5"/>
        </w:numPr>
        <w:spacing w:after="90" w:line="276"/>
      </w:pPr>
      <w:r>
        <w:rPr>
          <w:rFonts w:ascii="Calibri" w:cs="Calibri" w:eastAsia="Calibri" w:hAnsi="Calibri"/>
          <w:b/>
          <w:bCs/>
          <w:color w:val="1B2721"/>
          <w:sz w:val="21"/>
          <w:szCs w:val="21"/>
        </w:rPr>
        <w:t xml:space="preserve">Direct-to-consumer, or straight to schools? </w:t>
      </w:r>
      <w:r>
        <w:rPr>
          <w:rFonts w:ascii="Calibri" w:cs="Calibri" w:eastAsia="Calibri" w:hAnsi="Calibri"/>
          <w:color w:val="1B2721"/>
          <w:sz w:val="21"/>
          <w:szCs w:val="21"/>
        </w:rPr>
        <w:t xml:space="preserve">The institutional route carries a materially lower support burden.</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C6B63"/>
        <w:sz w:val="15"/>
        <w:szCs w:val="15"/>
      </w:rPr>
      <w:t xml:space="preserve">Project TA — Market and Competitor Analysis · Internal, commercial in confidence</w:t>
    </w:r>
    <w:r>
      <w:rPr>
        <w:sz w:val="15"/>
        <w:szCs w:val="15"/>
      </w:rPr>
      <w:t xml:space="preserve">	</w:t>
    </w:r>
    <w:r>
      <w:rPr>
        <w:rFonts w:ascii="Calibri" w:cs="Calibri" w:eastAsia="Calibri" w:hAnsi="Calibri"/>
        <w:color w:val="5C6B63"/>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00" w:hanging="240"/>
      </w:pPr>
      <w:rPr>
        <w:rFonts w:ascii="Calibri" w:cs="Calibri" w:eastAsia="Calibri" w:hAnsi="Calibri"/>
        <w:color w:val="157347"/>
      </w:rPr>
    </w:lvl>
  </w:abstractNum>
  <w:abstractNum w:abstractNumId="3" w15:restartNumberingAfterBreak="0">
    <w:multiLevelType w:val="hybridMultilevel"/>
    <w:lvl w:ilvl="0" w15:tentative="1">
      <w:start w:val="1"/>
      <w:numFmt w:val="decimal"/>
      <w:lvlText w:val="%1."/>
      <w:lvlJc w:val="start"/>
      <w:pPr>
        <w:ind w:left="460" w:hanging="300"/>
      </w:pPr>
      <w:rPr>
        <w:rFonts w:ascii="Calibri" w:cs="Calibri" w:eastAsia="Calibri" w:hAnsi="Calibri"/>
        <w:b/>
        <w:bCs/>
        <w:color w:val="0F5132"/>
        <w:sz w:val="21"/>
        <w:szCs w:val="21"/>
      </w:rPr>
    </w:lvl>
  </w:abstractNum>
  <w:abstractNum w:abstractNumId="4" w15:restartNumberingAfterBreak="0">
    <w:multiLevelType w:val="hybridMultilevel"/>
    <w:lvl w:ilvl="0" w15:tentative="1">
      <w:start w:val="1"/>
      <w:numFmt w:val="decimal"/>
      <w:lvlText w:val="%1."/>
      <w:lvlJc w:val="start"/>
      <w:pPr>
        <w:ind w:left="460" w:hanging="300"/>
      </w:pPr>
      <w:rPr>
        <w:rFonts w:ascii="Calibri" w:cs="Calibri" w:eastAsia="Calibri" w:hAnsi="Calibri"/>
        <w:b/>
        <w:bCs/>
        <w:color w:val="0F5132"/>
        <w:sz w:val="21"/>
        <w:szCs w:val="21"/>
      </w:rPr>
    </w:lvl>
  </w:abstractNum>
  <w:abstractNum w:abstractNumId="5" w15:restartNumberingAfterBreak="0">
    <w:multiLevelType w:val="hybridMultilevel"/>
    <w:lvl w:ilvl="0" w15:tentative="1">
      <w:start w:val="1"/>
      <w:numFmt w:val="decimal"/>
      <w:lvlText w:val="%1."/>
      <w:lvlJc w:val="start"/>
      <w:pPr>
        <w:ind w:left="460" w:hanging="300"/>
      </w:pPr>
      <w:rPr>
        <w:rFonts w:ascii="Calibri" w:cs="Calibri" w:eastAsia="Calibri" w:hAnsi="Calibri"/>
        <w:b/>
        <w:bCs/>
        <w:color w:val="0F5132"/>
        <w:sz w:val="21"/>
        <w:szCs w:val="21"/>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7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TA — Market and Competitor Analysis</dc:title>
  <dc:creator>Ismail Mansur</dc:creator>
  <dc:description>Market and competitor analysis supporting a decision to proceed to a funded pilot.</dc:description>
  <cp:lastModifiedBy>Un-named</cp:lastModifiedBy>
  <cp:revision>1</cp:revision>
  <dcterms:created xsi:type="dcterms:W3CDTF">2026-08-29T10:20:41.787Z</dcterms:created>
  <dcterms:modified xsi:type="dcterms:W3CDTF">2026-08-29T10:20:41.787Z</dcterms:modified>
</cp:coreProperties>
</file>

<file path=docProps/custom.xml><?xml version="1.0" encoding="utf-8"?>
<Properties xmlns="http://schemas.openxmlformats.org/officeDocument/2006/custom-properties" xmlns:vt="http://schemas.openxmlformats.org/officeDocument/2006/docPropsVTypes"/>
</file>