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0F172A"/>
          <w:sz w:val="40"/>
        </w:rPr>
        <w:t>URBAN VISION AI — SAFEBUILD</w:t>
      </w:r>
    </w:p>
    <w:p>
      <w:pPr>
        <w:spacing w:after="80"/>
      </w:pPr>
      <w:r>
        <w:rPr>
          <w:color w:val="0F766E"/>
          <w:sz w:val="22"/>
        </w:rPr>
        <w:t>“Plan roadwork. Keep communities connected.”</w:t>
      </w:r>
    </w:p>
    <w:p>
      <w:pPr>
        <w:spacing w:after="120"/>
      </w:pPr>
      <w:r>
        <w:rPr>
          <w:b/>
          <w:sz w:val="16"/>
        </w:rPr>
        <w:t xml:space="preserve">DOCUMENT TYPE: </w:t>
      </w:r>
      <w:r>
        <w:rPr>
          <w:color w:val="64748B"/>
          <w:sz w:val="16"/>
        </w:rPr>
        <w:t xml:space="preserve">Engineering Innovation Concept Document  |  </w:t>
      </w:r>
      <w:r>
        <w:rPr>
          <w:b/>
          <w:color w:val="64748B"/>
          <w:sz w:val="16"/>
        </w:rPr>
        <w:t xml:space="preserve">FOCUS: </w:t>
      </w:r>
      <w:r>
        <w:rPr>
          <w:color w:val="64748B"/>
          <w:sz w:val="16"/>
        </w:rPr>
        <w:t xml:space="preserve">Pre-Construction Access Optimization  |  </w:t>
      </w:r>
      <w:r>
        <w:rPr>
          <w:b/>
          <w:color w:val="64748B"/>
          <w:sz w:val="16"/>
        </w:rPr>
        <w:t xml:space="preserve">CASE STUDY: </w:t>
      </w:r>
      <w:r>
        <w:rPr>
          <w:color w:val="64748B"/>
          <w:sz w:val="16"/>
        </w:rPr>
        <w:t>Kakkanad Corridor, Kochi, Kerala</w:t>
      </w:r>
    </w:p>
    <w:tbl>
      <w:tblPr>
        <w:tblW w:type="auto" w:w="0"/>
        <w:jc w:val="center"/>
        <w:tblLook w:firstColumn="1" w:firstRow="1" w:lastColumn="0" w:lastRow="0" w:noHBand="0" w:noVBand="1" w:val="04A0"/>
      </w:tblPr>
      <w:tblGrid>
        <w:gridCol w:w="10037"/>
      </w:tblGrid>
      <w:tr>
        <w:tc>
          <w:tcPr>
            <w:tcW w:type="dxa" w:w="10037"/>
            <w:shd w:fill="FEF2F2"/>
            <w:tcBorders>
              <w:top w:val="single" w:sz="8" w:space="0" w:color="F87171"/>
              <w:left w:val="single" w:sz="8" w:space="0" w:color="F87171"/>
              <w:bottom w:val="single" w:sz="8" w:space="0" w:color="F87171"/>
              <w:right w:val="single" w:sz="8" w:space="0" w:color="F87171"/>
            </w:tcBorders>
            <w:tcMar>
              <w:top w:w="100" w:type="dxa"/>
              <w:bottom w:w="100" w:type="dxa"/>
              <w:left w:w="140" w:type="dxa"/>
              <w:right w:w="140" w:type="dxa"/>
            </w:tcMar>
          </w:tcPr>
          <w:p>
            <w:pPr>
              <w:spacing w:after="0"/>
            </w:pPr>
            <w:r>
              <w:rPr>
                <w:b/>
                <w:color w:val="B91C1C"/>
                <w:sz w:val="16"/>
              </w:rPr>
              <w:t xml:space="preserve">EVALUATION NOTICE &amp; REGULATORY BOUNDARY: </w:t>
            </w:r>
            <w:r>
              <w:rPr>
                <w:color w:val="991B1B"/>
                <w:sz w:val="16"/>
              </w:rPr>
              <w:t>SafeBuild is an analytical decision-support research prototype for evaluating community accessibility during planned roadway works. All simulated routes represent deterministic graph-theoretic shortest path traversals (Dijkstra algorithm) and DO NOT constitute approved traffic circulation plans, live emergency response routing, or real-time travel delay predictions. Physical interventions require formal statutory review from municipal transport departments and relevant public works bodies.</w:t>
            </w:r>
          </w:p>
        </w:tc>
      </w:tr>
    </w:tbl>
    <w:p>
      <w:pPr>
        <w:spacing w:after="120"/>
      </w:pPr>
    </w:p>
    <w:p>
      <w:pPr>
        <w:spacing w:before="120" w:after="60"/>
      </w:pPr>
      <w:r>
        <w:rPr>
          <w:b/>
          <w:color w:val="0F172A"/>
          <w:sz w:val="26"/>
        </w:rPr>
        <w:t>1. PROBLEM DEFINITION</w:t>
      </w:r>
    </w:p>
    <w:p>
      <w:r>
        <w:rPr>
          <w:b/>
        </w:rPr>
        <w:t xml:space="preserve">1.1 The Urban Roadwork Accessibility Challenge: </w:t>
      </w:r>
      <w:r>
        <w:t>Municipal infrastructure civil works—such as metro rail viaduct construction, storm-water drainage renewal, utility trenching, and flyover foundation piling—are indispensable for long-term urban economic productivity. However, temporary roadway restrictions frequently sever critical transit arteries linking residential communities to essential civic destinations, including tertiary healthcare facilities, schools, workplaces, and public transportation interchanges. When multiple workzones are executed concurrently without comprehensive network analysis, entire residential enclaves can suffer severe connectivity degradation, turning short routine trips into protracted, circuitous detours.</w:t>
      </w:r>
    </w:p>
    <w:p>
      <w:r>
        <w:rPr>
          <w:b/>
        </w:rPr>
        <w:t xml:space="preserve">Differential Impacts on Vulnerable Road Users: </w:t>
      </w:r>
      <w:r>
        <w:t>Disruption impacts are not distributed equally across urban populations. While motorized vehicles face additional travel distances and congestion delays, pedestrians, older adults, and persons with disabilities experience severe mobility barriers. Roadwork barricades often encroach upon footpaths, forcing pedestrians into live traffic lanes or eliminating continuous pedestrian crossings. Concurrently, local commercial establishments depend on unobstructed freight delivery corridors and patron footfall, which are abruptly curtailed during extended roadbed closures.</w:t>
      </w:r>
    </w:p>
    <w:p>
      <w:r>
        <w:rPr>
          <w:b/>
        </w:rPr>
        <w:t xml:space="preserve">1.2 The Limitations of Post-Disruption Route Navigation: </w:t>
      </w:r>
      <w:r>
        <w:t>Contemporary commercial navigation applications (e.g., Google Maps, Apple Maps, Waze) perform exceptionally well at dynamic re-routing after an active road closure, incident, or severe traffic bottleneck has already occurred. However, these tools operate downstream of civil engineering decisions. They inform individual drivers of congestion but cannot inform planners how work should be organized to prevent severance in the first place.</w:t>
      </w:r>
    </w:p>
    <w:p>
      <w:r>
        <w:rPr>
          <w:b/>
        </w:rPr>
        <w:t xml:space="preserve">The Central Civil Engineering Challenge: </w:t>
      </w:r>
      <w:r>
        <w:t>Urban roadway workzones pose a multi-dimensional planning challenge: Can civil engineers and municipal authorities evaluate and restructure the sequencing, spatial phasing, and temporary mitigation arrangements of roadwork before breaking ground, so that communities retain practical, continuous access? Solving this challenge requires uniting topological network impedance, construction phase dependencies, and physical right-of-way constraints into an auditable, pre-construction decision-support framework.</w:t>
      </w:r>
    </w:p>
    <w:p>
      <w:r>
        <w:rPr>
          <w:b/>
        </w:rPr>
        <w:t xml:space="preserve">1.3 Case Study: Kakkanad Corridor Scenario Study (Kochi, Kerala): </w:t>
      </w:r>
      <w:r>
        <w:t>To establish empirical validity on genuine urban geometry, SafeBuild was applied to a defined study corridor along the Palarivattom–Kakkanad Road in the Kochi metropolitan area, Kerala, India. The baseline road network was parsed directly from OpenStreetMap under the Open Database License (ODbL), capturing 19,582 nodes, 11,675 motor vehicle highway edges, and 16,842 pedestrian edges within a 4.67 km² core boundary (projected to UTM Zone 43N). The scenario models hypothetical road restrictions along arterial segments (OSM Way IDs 197827530 and 383253303) affecting community connectivity to Sunrise Hospital (Vii/528-B Seaport-Airport Road) from seven representative residential cluster centroids. (Note: This scenario represents an unverified planning research model; it does not reflect an actual municipal closure or completed field pilot).</w:t>
      </w:r>
    </w:p>
    <w:tbl>
      <w:tblPr>
        <w:tblW w:type="auto" w:w="0"/>
        <w:jc w:val="center"/>
        <w:tblLook w:firstColumn="1" w:firstRow="1" w:lastColumn="0" w:lastRow="0" w:noHBand="0" w:noVBand="1" w:val="04A0"/>
      </w:tblPr>
      <w:tblGrid>
        <w:gridCol w:w="3346"/>
        <w:gridCol w:w="3346"/>
        <w:gridCol w:w="3346"/>
      </w:tblGrid>
      <w:tr>
        <w:tc>
          <w:tcPr>
            <w:tcW w:type="dxa" w:w="2160"/>
            <w:shd w:fill="0F766E"/>
            <w:tcMar>
              <w:top w:w="60" w:type="dxa"/>
              <w:bottom w:w="60" w:type="dxa"/>
              <w:left w:w="80" w:type="dxa"/>
              <w:right w:w="80" w:type="dxa"/>
            </w:tcMar>
          </w:tcPr>
          <w:p>
            <w:pPr>
              <w:spacing w:after="0"/>
            </w:pPr>
            <w:r>
              <w:rPr>
                <w:b/>
                <w:color w:val="FFFFFF"/>
                <w:sz w:val="16"/>
              </w:rPr>
              <w:t>Dataset Dimension</w:t>
            </w:r>
          </w:p>
        </w:tc>
        <w:tc>
          <w:tcPr>
            <w:tcW w:type="dxa" w:w="3456"/>
            <w:shd w:fill="0F766E"/>
            <w:tcMar>
              <w:top w:w="60" w:type="dxa"/>
              <w:bottom w:w="60" w:type="dxa"/>
              <w:left w:w="80" w:type="dxa"/>
              <w:right w:w="80" w:type="dxa"/>
            </w:tcMar>
          </w:tcPr>
          <w:p>
            <w:pPr>
              <w:spacing w:after="0"/>
            </w:pPr>
            <w:r>
              <w:rPr>
                <w:b/>
                <w:color w:val="FFFFFF"/>
                <w:sz w:val="16"/>
              </w:rPr>
              <w:t>Attribute Value</w:t>
            </w:r>
          </w:p>
        </w:tc>
        <w:tc>
          <w:tcPr>
            <w:tcW w:type="dxa" w:w="4421"/>
            <w:shd w:fill="0F766E"/>
            <w:tcMar>
              <w:top w:w="60" w:type="dxa"/>
              <w:bottom w:w="60" w:type="dxa"/>
              <w:left w:w="80" w:type="dxa"/>
              <w:right w:w="80" w:type="dxa"/>
            </w:tcMar>
          </w:tcPr>
          <w:p>
            <w:pPr>
              <w:spacing w:after="0"/>
            </w:pPr>
            <w:r>
              <w:rPr>
                <w:b/>
                <w:color w:val="FFFFFF"/>
                <w:sz w:val="16"/>
              </w:rPr>
              <w:t>Geospatial Reference &amp; Verification Mechanism</w:t>
            </w:r>
          </w:p>
        </w:tc>
      </w:tr>
      <w:tr>
        <w:tc>
          <w:tcPr>
            <w:tcW w:type="dxa" w:w="2160"/>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Study Corridor Boundary</w:t>
            </w:r>
          </w:p>
        </w:tc>
        <w:tc>
          <w:tcPr>
            <w:tcW w:type="dxa" w:w="3456"/>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76.3262, 9.9934 to 76.3688, 10.0276 (EPSG:4326)</w:t>
            </w:r>
          </w:p>
        </w:tc>
        <w:tc>
          <w:tcPr>
            <w:tcW w:type="dxa" w:w="4421"/>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4.67 km² core perimeter with 6.8 km regional buffer in UTM Zone 43N</w:t>
            </w:r>
          </w:p>
        </w:tc>
      </w:tr>
      <w:tr>
        <w:tc>
          <w:tcPr>
            <w:tcW w:type="dxa" w:w="2160"/>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Network Topology</w:t>
            </w:r>
          </w:p>
        </w:tc>
        <w:tc>
          <w:tcPr>
            <w:tcW w:type="dxa" w:w="3456"/>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19,582 nodes, 11,675 motor edges, 16,842 pedestrian edges</w:t>
            </w:r>
          </w:p>
        </w:tc>
        <w:tc>
          <w:tcPr>
            <w:tcW w:type="dxa" w:w="4421"/>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Raw OSM XML referential audit (0 missing node references)</w:t>
            </w:r>
          </w:p>
        </w:tc>
      </w:tr>
      <w:tr>
        <w:tc>
          <w:tcPr>
            <w:tcW w:type="dxa" w:w="2160"/>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Target Destination</w:t>
            </w:r>
          </w:p>
        </w:tc>
        <w:tc>
          <w:tcPr>
            <w:tcW w:type="dxa" w:w="3456"/>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Sunrise Hospital, Ernakulam (lat: 10.0215, lon: 76.3478)</w:t>
            </w:r>
          </w:p>
        </w:tc>
        <w:tc>
          <w:tcPr>
            <w:tcW w:type="dxa" w:w="4421"/>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Ground-surveyed entrance node snapped via Euclidean KD-Tree</w:t>
            </w:r>
          </w:p>
        </w:tc>
      </w:tr>
      <w:tr>
        <w:tc>
          <w:tcPr>
            <w:tcW w:type="dxa" w:w="2160"/>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Restricted Workzone</w:t>
            </w:r>
          </w:p>
        </w:tc>
        <w:tc>
          <w:tcPr>
            <w:tcW w:type="dxa" w:w="3456"/>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Palarivattom–Kakkanad Road (OSM Way IDs: 197827530, 383253303)</w:t>
            </w:r>
          </w:p>
        </w:tc>
        <w:tc>
          <w:tcPr>
            <w:tcW w:type="dxa" w:w="4421"/>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Full bidirectional carriage restriction (Simulated State G0_C)</w:t>
            </w:r>
          </w:p>
        </w:tc>
      </w:tr>
    </w:tbl>
    <w:p>
      <w:r>
        <w:br w:type="page"/>
      </w:r>
    </w:p>
    <w:p>
      <w:pPr>
        <w:spacing w:before="80" w:after="60"/>
      </w:pPr>
      <w:r>
        <w:rPr>
          <w:b/>
          <w:color w:val="0F172A"/>
          <w:sz w:val="26"/>
        </w:rPr>
        <w:t>2. IDEA / CONCEPT / SOLUTION TO ADDRESS THE PROBLEM</w:t>
      </w:r>
    </w:p>
    <w:p>
      <w:r>
        <w:rPr>
          <w:b/>
        </w:rPr>
        <w:t xml:space="preserve">2.1 Customer Pains vs. Solution Gains: </w:t>
      </w:r>
      <w:r>
        <w:t>Municipal transport engineers, public works departments, and civil contractors face chronic friction when coordinating construction schedules with urban access. SafeBuild translates these operational pain points into structured engineering gains:</w:t>
      </w:r>
    </w:p>
    <w:tbl>
      <w:tblPr>
        <w:tblW w:type="auto" w:w="0"/>
        <w:jc w:val="center"/>
        <w:tblLook w:firstColumn="1" w:firstRow="1" w:lastColumn="0" w:lastRow="0" w:noHBand="0" w:noVBand="1" w:val="04A0"/>
      </w:tblPr>
      <w:tblGrid>
        <w:gridCol w:w="3346"/>
        <w:gridCol w:w="3346"/>
        <w:gridCol w:w="3346"/>
      </w:tblGrid>
      <w:tr>
        <w:tc>
          <w:tcPr>
            <w:tcW w:type="dxa" w:w="2016"/>
            <w:shd w:fill="0F766E"/>
            <w:tcMar>
              <w:top w:w="60" w:type="dxa"/>
              <w:bottom w:w="60" w:type="dxa"/>
              <w:left w:w="80" w:type="dxa"/>
              <w:right w:w="80" w:type="dxa"/>
            </w:tcMar>
          </w:tcPr>
          <w:p>
            <w:pPr>
              <w:spacing w:after="0"/>
            </w:pPr>
            <w:r>
              <w:rPr>
                <w:b/>
                <w:color w:val="FFFFFF"/>
                <w:sz w:val="16"/>
              </w:rPr>
              <w:t>Stakeholder Cohort</w:t>
            </w:r>
          </w:p>
        </w:tc>
        <w:tc>
          <w:tcPr>
            <w:tcW w:type="dxa" w:w="3888"/>
            <w:shd w:fill="0F766E"/>
            <w:tcMar>
              <w:top w:w="60" w:type="dxa"/>
              <w:bottom w:w="60" w:type="dxa"/>
              <w:left w:w="80" w:type="dxa"/>
              <w:right w:w="80" w:type="dxa"/>
            </w:tcMar>
          </w:tcPr>
          <w:p>
            <w:pPr>
              <w:spacing w:after="0"/>
            </w:pPr>
            <w:r>
              <w:rPr>
                <w:b/>
                <w:color w:val="FFFFFF"/>
                <w:sz w:val="16"/>
              </w:rPr>
              <w:t>Operational Pain Points (Current Practice)</w:t>
            </w:r>
          </w:p>
        </w:tc>
        <w:tc>
          <w:tcPr>
            <w:tcW w:type="dxa" w:w="4133"/>
            <w:shd w:fill="0F766E"/>
            <w:tcMar>
              <w:top w:w="60" w:type="dxa"/>
              <w:bottom w:w="60" w:type="dxa"/>
              <w:left w:w="80" w:type="dxa"/>
              <w:right w:w="80" w:type="dxa"/>
            </w:tcMar>
          </w:tcPr>
          <w:p>
            <w:pPr>
              <w:spacing w:after="0"/>
            </w:pPr>
            <w:r>
              <w:rPr>
                <w:b/>
                <w:color w:val="FFFFFF"/>
                <w:sz w:val="16"/>
              </w:rPr>
              <w:t>Engineered Gains (SafeBuild Decision Framework)</w:t>
            </w:r>
          </w:p>
        </w:tc>
      </w:tr>
      <w:tr>
        <w:tc>
          <w:tcPr>
            <w:tcW w:type="dxa" w:w="2016"/>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Municipal Engineers &amp; PWD</w:t>
            </w:r>
          </w:p>
        </w:tc>
        <w:tc>
          <w:tcPr>
            <w:tcW w:type="dxa" w:w="3888"/>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Manual, siloed scheduling; zero spatial visibility into cumulative community cut-off across overlapping project phases.</w:t>
            </w:r>
          </w:p>
        </w:tc>
        <w:tc>
          <w:tcPr>
            <w:tcW w:type="dxa" w:w="4133"/>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Multi-phase network simulation mapping exact access severance before breaking ground; automated metric audits.</w:t>
            </w:r>
          </w:p>
        </w:tc>
      </w:tr>
      <w:tr>
        <w:tc>
          <w:tcPr>
            <w:tcW w:type="dxa" w:w="2016"/>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Traffic Police &amp; Planners</w:t>
            </w:r>
          </w:p>
        </w:tc>
        <w:tc>
          <w:tcPr>
            <w:tcW w:type="dxa" w:w="3888"/>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Ad-hoc diversion approvals; secondary collector roads overwhelmed by uncoordinated detours and sharp turn choke points.</w:t>
            </w:r>
          </w:p>
        </w:tc>
        <w:tc>
          <w:tcPr>
            <w:tcW w:type="dxa" w:w="4133"/>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Deterministic shortest-path detour quantification across all neighborhood centroids; turning restriction compliance.</w:t>
            </w:r>
          </w:p>
        </w:tc>
      </w:tr>
      <w:tr>
        <w:tc>
          <w:tcPr>
            <w:tcW w:type="dxa" w:w="2016"/>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Infrastructure Contractors</w:t>
            </w:r>
          </w:p>
        </w:tc>
        <w:tc>
          <w:tcPr>
            <w:tcW w:type="dxa" w:w="3888"/>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Public outrage, unexpected project halts, and costly emergency re-sequencing due to unannounced access severance.</w:t>
            </w:r>
          </w:p>
        </w:tc>
        <w:tc>
          <w:tcPr>
            <w:tcW w:type="dxa" w:w="4133"/>
            <w:shd w:fill="FFFFFF"/>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Pre-validated construction phase dependencies; objective trade-off documentation demonstrating planning diligence.</w:t>
            </w:r>
          </w:p>
        </w:tc>
      </w:tr>
      <w:tr>
        <w:tc>
          <w:tcPr>
            <w:tcW w:type="dxa" w:w="2016"/>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b/>
                <w:sz w:val="15"/>
              </w:rPr>
              <w:t>Affected Communities</w:t>
            </w:r>
          </w:p>
        </w:tc>
        <w:tc>
          <w:tcPr>
            <w:tcW w:type="dxa" w:w="3888"/>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Sudden loss of access to healthcare, schools, and transit; dangerous pedestrian detours forced into active traffic lanes.</w:t>
            </w:r>
          </w:p>
        </w:tc>
        <w:tc>
          <w:tcPr>
            <w:tcW w:type="dxa" w:w="4133"/>
            <w:shd w:fill="F8FAFC"/>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sz w:val="15"/>
              </w:rPr>
              <w:t>Preserved essential-service connectivity; transparent, phase-specific access plans; protected pedestrian walkways.</w:t>
            </w:r>
          </w:p>
        </w:tc>
      </w:tr>
    </w:tbl>
    <w:p>
      <w:pPr>
        <w:spacing w:after="60"/>
      </w:pPr>
    </w:p>
    <w:p>
      <w:r>
        <w:rPr>
          <w:b/>
        </w:rPr>
        <w:t xml:space="preserve">2.2 Core System Architecture &amp; Modular Components: </w:t>
      </w:r>
      <w:r>
        <w:t>SafeBuild operates as an end-to-end decision-support platform comprising eight integrated modules: (1) Interactive GIS Planning Studio: WebGL canvas rendering 2D/3D extruded structures and real-time routes. (2) Network Preparation Engine: Ingests raw OSM XML, constructs directed MultiDiGraphs in UTM Zone 43N, and projects origins via KD-Tree. (3) 5-State Subgraph Algebra: Formally tracks baseline, closed, proposed, and mitigated states (G0 to G0_P_C_M). (4) Deterministic Routing Engine: Computes exact Dijkstra shortest paths with zero statistical variance. (5) Construction Dependency Validator: Topological sorting and cycle detection across construction phases. (6) Bounded Scenario Comparison Ledger: Rigorously compares candidate arrangements against physical and safety constraints. (7) Guarded AI Explanation Layer: Synthesizes analytical findings strictly quoting backend metrics with deterministic fallback. (8) Engineering Report Generator: Exports self-contained, auditable PDF decision briefs and CSV tables.</w:t>
      </w:r>
    </w:p>
    <w:p>
      <w:r>
        <w:rPr>
          <w:b/>
        </w:rPr>
        <w:t xml:space="preserve">2.3 Unique Selling Proposition (USP): </w:t>
      </w:r>
      <w:r>
        <w:t>The definitive differentiator of SafeBuild is its focus on the upstream civil engineering decision: SafeBuild evaluates how construction activities should be sequenced and coordinated to preserve community access before work commences, rather than merely directing vehicles around road closures after they occur. While specialized GIS platforms (ArcGIS/QGIS) perform spatial queries, they lack construction scheduling dependencies. Conversely, project scheduling tools (Primavera P6, MS Project) lack topological road network awareness. SafeBuild unites these capabilities into a focused, community-first planning workflow.</w:t>
      </w:r>
    </w:p>
    <w:p>
      <w:pPr>
        <w:spacing w:before="80" w:after="60"/>
      </w:pPr>
      <w:r>
        <w:rPr>
          <w:b/>
          <w:color w:val="0F172A"/>
          <w:sz w:val="26"/>
        </w:rPr>
        <w:t>3. PROJECT DESCRIPTION AND HIGH-LEVEL DESIGN</w:t>
      </w:r>
    </w:p>
    <w:p>
      <w:r>
        <w:t>SafeBuild structures construction access planning into a six-step engineering workflow: 1. Define Construction Area &amp; Restrictions (target OSM ways, duration, phases) → 2. Prepare Phase-Specific Subgraphs (formal 5-state algebra G0 to G0_P_C_M) → 3. Analyze Community Accessibility (Dijkstra shortest paths, reachability distinction) → 4. Compare Construction Arrangements (schedule exposure, candidate trade-offs) → 5. Explain Results via Guarded AI (grounded metric citations, strict refusal of hallucinations) → 6. Generate Access Plans &amp; Audit Documentation (self-contained briefs, review gates).</w:t>
      </w:r>
    </w:p>
    <w:p>
      <w:r>
        <w:br w:type="page"/>
      </w:r>
    </w:p>
    <w:p>
      <w:pPr>
        <w:spacing w:before="80" w:after="60"/>
      </w:pPr>
      <w:r>
        <w:rPr>
          <w:b/>
          <w:color w:val="0F172A"/>
          <w:sz w:val="26"/>
        </w:rPr>
        <w:t>3. PROJECT DESCRIPTION AND HIGH-LEVEL DESIGN (CONTINUED)</w:t>
      </w:r>
    </w:p>
    <w:p>
      <w:r>
        <w:rPr>
          <w:b/>
        </w:rPr>
        <w:t xml:space="preserve">Grounded Prototype Evidence: Kakkanad Scenario Study Routing: </w:t>
      </w:r>
      <w:r>
        <w:t>In the evaluated Kakkanad corridor scenario, seven representative residential cluster centroids were routed to Sunrise Hospital under baseline (G0) and restricted (G0_C) conditions. All 7 origins remained reachable. The table below records the verified prototype outputs:</w:t>
      </w:r>
    </w:p>
    <w:tbl>
      <w:tblPr>
        <w:tblW w:type="auto" w:w="0"/>
        <w:jc w:val="center"/>
        <w:tblLook w:firstColumn="1" w:firstRow="1" w:lastColumn="0" w:lastRow="0" w:noHBand="0" w:noVBand="1" w:val="04A0"/>
      </w:tblPr>
      <w:tblGrid>
        <w:gridCol w:w="1673"/>
        <w:gridCol w:w="1673"/>
        <w:gridCol w:w="1673"/>
        <w:gridCol w:w="1673"/>
        <w:gridCol w:w="1673"/>
        <w:gridCol w:w="1673"/>
      </w:tblGrid>
      <w:tr>
        <w:tc>
          <w:tcPr>
            <w:tcW w:type="dxa" w:w="2304"/>
            <w:shd w:fill="0F766E"/>
            <w:tcMar>
              <w:top w:w="50" w:type="dxa"/>
              <w:bottom w:w="50" w:type="dxa"/>
              <w:left w:w="60" w:type="dxa"/>
              <w:right w:w="60" w:type="dxa"/>
            </w:tcMar>
          </w:tcPr>
          <w:p>
            <w:pPr>
              <w:spacing w:after="0"/>
            </w:pPr>
            <w:r>
              <w:rPr>
                <w:b/>
                <w:color w:val="FFFFFF"/>
                <w:sz w:val="15"/>
              </w:rPr>
              <w:t>Origin Cluster Anchor</w:t>
            </w:r>
          </w:p>
        </w:tc>
        <w:tc>
          <w:tcPr>
            <w:tcW w:type="dxa" w:w="1296"/>
            <w:shd w:fill="0F766E"/>
            <w:tcMar>
              <w:top w:w="50" w:type="dxa"/>
              <w:bottom w:w="50" w:type="dxa"/>
              <w:left w:w="60" w:type="dxa"/>
              <w:right w:w="60" w:type="dxa"/>
            </w:tcMar>
          </w:tcPr>
          <w:p>
            <w:pPr>
              <w:spacing w:after="0"/>
            </w:pPr>
            <w:r>
              <w:rPr>
                <w:b/>
                <w:color w:val="FFFFFF"/>
                <w:sz w:val="15"/>
              </w:rPr>
              <w:t>Baseline (G0)</w:t>
            </w:r>
          </w:p>
        </w:tc>
        <w:tc>
          <w:tcPr>
            <w:tcW w:type="dxa" w:w="1440"/>
            <w:shd w:fill="0F766E"/>
            <w:tcMar>
              <w:top w:w="50" w:type="dxa"/>
              <w:bottom w:w="50" w:type="dxa"/>
              <w:left w:w="60" w:type="dxa"/>
              <w:right w:w="60" w:type="dxa"/>
            </w:tcMar>
          </w:tcPr>
          <w:p>
            <w:pPr>
              <w:spacing w:after="0"/>
            </w:pPr>
            <w:r>
              <w:rPr>
                <w:b/>
                <w:color w:val="FFFFFF"/>
                <w:sz w:val="15"/>
              </w:rPr>
              <w:t>Restricted (G0_C)</w:t>
            </w:r>
          </w:p>
        </w:tc>
        <w:tc>
          <w:tcPr>
            <w:tcW w:type="dxa" w:w="1440"/>
            <w:shd w:fill="0F766E"/>
            <w:tcMar>
              <w:top w:w="50" w:type="dxa"/>
              <w:bottom w:w="50" w:type="dxa"/>
              <w:left w:w="60" w:type="dxa"/>
              <w:right w:w="60" w:type="dxa"/>
            </w:tcMar>
          </w:tcPr>
          <w:p>
            <w:pPr>
              <w:spacing w:after="0"/>
            </w:pPr>
            <w:r>
              <w:rPr>
                <w:b/>
                <w:color w:val="FFFFFF"/>
                <w:sz w:val="15"/>
              </w:rPr>
              <w:t>Detour Delta (Δ)</w:t>
            </w:r>
          </w:p>
        </w:tc>
        <w:tc>
          <w:tcPr>
            <w:tcW w:type="dxa" w:w="1440"/>
            <w:shd w:fill="0F766E"/>
            <w:tcMar>
              <w:top w:w="50" w:type="dxa"/>
              <w:bottom w:w="50" w:type="dxa"/>
              <w:left w:w="60" w:type="dxa"/>
              <w:right w:w="60" w:type="dxa"/>
            </w:tcMar>
          </w:tcPr>
          <w:p>
            <w:pPr>
              <w:spacing w:after="0"/>
            </w:pPr>
            <w:r>
              <w:rPr>
                <w:b/>
                <w:color w:val="FFFFFF"/>
                <w:sz w:val="15"/>
              </w:rPr>
              <w:t>Impact Severity</w:t>
            </w:r>
          </w:p>
        </w:tc>
        <w:tc>
          <w:tcPr>
            <w:tcW w:type="dxa" w:w="2117"/>
            <w:shd w:fill="0F766E"/>
            <w:tcMar>
              <w:top w:w="50" w:type="dxa"/>
              <w:bottom w:w="50" w:type="dxa"/>
              <w:left w:w="60" w:type="dxa"/>
              <w:right w:w="60" w:type="dxa"/>
            </w:tcMar>
          </w:tcPr>
          <w:p>
            <w:pPr>
              <w:spacing w:after="0"/>
            </w:pPr>
            <w:r>
              <w:rPr>
                <w:b/>
                <w:color w:val="FFFFFF"/>
                <w:sz w:val="15"/>
              </w:rPr>
              <w:t>Route Characteristics</w:t>
            </w:r>
          </w:p>
        </w:tc>
      </w:tr>
      <w:tr>
        <w:tc>
          <w:tcPr>
            <w:tcW w:type="dxa" w:w="2304"/>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Kakkanad West / Civil Stn Environs</w:t>
            </w:r>
          </w:p>
        </w:tc>
        <w:tc>
          <w:tcPr>
            <w:tcW w:type="dxa" w:w="1296"/>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1,572.8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1,927.7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+354.9 m (+22.6%)</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High (Direct Cut)</w:t>
            </w:r>
          </w:p>
        </w:tc>
        <w:tc>
          <w:tcPr>
            <w:tcW w:type="dxa" w:w="211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Direct arterial severed; forced onto secondary collector bypass</w:t>
            </w:r>
          </w:p>
        </w:tc>
      </w:tr>
      <w:tr>
        <w:tc>
          <w:tcPr>
            <w:tcW w:type="dxa" w:w="2304"/>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Civil Station Administrative Hub</w:t>
            </w:r>
          </w:p>
        </w:tc>
        <w:tc>
          <w:tcPr>
            <w:tcW w:type="dxa" w:w="1296"/>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920.4 m</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1,130.7 m</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+210.3 m (+22.8%)</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Moderate</w:t>
            </w:r>
          </w:p>
        </w:tc>
        <w:tc>
          <w:tcPr>
            <w:tcW w:type="dxa" w:w="211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Diverted through northern collector loop to Seaport-Airport Rd</w:t>
            </w:r>
          </w:p>
        </w:tc>
      </w:tr>
      <w:tr>
        <w:tc>
          <w:tcPr>
            <w:tcW w:type="dxa" w:w="2304"/>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Padamugal Residential Community</w:t>
            </w:r>
          </w:p>
        </w:tc>
        <w:tc>
          <w:tcPr>
            <w:tcW w:type="dxa" w:w="1296"/>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1,840.1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1,995.6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+155.5 m (+8.5%)</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Moderate</w:t>
            </w:r>
          </w:p>
        </w:tc>
        <w:tc>
          <w:tcPr>
            <w:tcW w:type="dxa" w:w="211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Minor collector diversion around Palarivattom workzone reach</w:t>
            </w:r>
          </w:p>
        </w:tc>
      </w:tr>
      <w:tr>
        <w:tc>
          <w:tcPr>
            <w:tcW w:type="dxa" w:w="2304"/>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DLF City / New Town Heights</w:t>
            </w:r>
          </w:p>
        </w:tc>
        <w:tc>
          <w:tcPr>
            <w:tcW w:type="dxa" w:w="1296"/>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282.7 m</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311.6 m</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+28.9 m (+10.2%)</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Low (Local Choke)</w:t>
            </w:r>
          </w:p>
        </w:tc>
        <w:tc>
          <w:tcPr>
            <w:tcW w:type="dxa" w:w="211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Local junction bypass around workzone perimeter</w:t>
            </w:r>
          </w:p>
        </w:tc>
      </w:tr>
      <w:tr>
        <w:tc>
          <w:tcPr>
            <w:tcW w:type="dxa" w:w="2304"/>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Infopark Expressway Sector</w:t>
            </w:r>
          </w:p>
        </w:tc>
        <w:tc>
          <w:tcPr>
            <w:tcW w:type="dxa" w:w="1296"/>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1,420.6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1,420.6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0.0 m (0.0%)</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Preserved Access</w:t>
            </w:r>
          </w:p>
        </w:tc>
        <w:tc>
          <w:tcPr>
            <w:tcW w:type="dxa" w:w="211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Eastern approach entirely unaffected by western corridor workzone</w:t>
            </w:r>
          </w:p>
        </w:tc>
      </w:tr>
      <w:tr>
        <w:tc>
          <w:tcPr>
            <w:tcW w:type="dxa" w:w="2304"/>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Kaloor–Kadavanthra Boundary</w:t>
            </w:r>
          </w:p>
        </w:tc>
        <w:tc>
          <w:tcPr>
            <w:tcW w:type="dxa" w:w="1296"/>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2,060.4 m</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2,060.4 m</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0.0 m (0.0%)</w:t>
            </w:r>
          </w:p>
        </w:tc>
        <w:tc>
          <w:tcPr>
            <w:tcW w:type="dxa" w:w="144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Preserved Access</w:t>
            </w:r>
          </w:p>
        </w:tc>
        <w:tc>
          <w:tcPr>
            <w:tcW w:type="dxa" w:w="211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Southern inflow operates along uninterrupted arterial links</w:t>
            </w:r>
          </w:p>
        </w:tc>
      </w:tr>
      <w:tr>
        <w:tc>
          <w:tcPr>
            <w:tcW w:type="dxa" w:w="2304"/>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Canal Colony / Athani Settlement</w:t>
            </w:r>
          </w:p>
        </w:tc>
        <w:tc>
          <w:tcPr>
            <w:tcW w:type="dxa" w:w="1296"/>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1,110.2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1,110.2 m</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0.0 m (0.0%)</w:t>
            </w:r>
          </w:p>
        </w:tc>
        <w:tc>
          <w:tcPr>
            <w:tcW w:type="dxa" w:w="144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Preserved Access</w:t>
            </w:r>
          </w:p>
        </w:tc>
        <w:tc>
          <w:tcPr>
            <w:tcW w:type="dxa" w:w="211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Northern access corridor maintains direct hospital ingress</w:t>
            </w:r>
          </w:p>
        </w:tc>
      </w:tr>
    </w:tbl>
    <w:p>
      <w:pPr>
        <w:spacing w:after="60"/>
      </w:pPr>
    </w:p>
    <w:p>
      <w:r>
        <w:rPr>
          <w:b/>
        </w:rPr>
        <w:t xml:space="preserve">Bounded Candidate Arrangement Trade-off Analysis &amp; Prototype Review Gate: </w:t>
      </w:r>
      <w:r>
        <w:t>Candidate arrangements were evaluated against physical right-of-way constraints, schedule duration, and worker safety:</w:t>
      </w:r>
    </w:p>
    <w:tbl>
      <w:tblPr>
        <w:tblW w:type="auto" w:w="0"/>
        <w:jc w:val="center"/>
        <w:tblLook w:firstColumn="1" w:firstRow="1" w:lastColumn="0" w:lastRow="0" w:noHBand="0" w:noVBand="1" w:val="04A0"/>
      </w:tblPr>
      <w:tblGrid>
        <w:gridCol w:w="2007"/>
        <w:gridCol w:w="2007"/>
        <w:gridCol w:w="2007"/>
        <w:gridCol w:w="2007"/>
        <w:gridCol w:w="2007"/>
      </w:tblGrid>
      <w:tr>
        <w:tc>
          <w:tcPr>
            <w:tcW w:type="dxa" w:w="2016"/>
            <w:shd w:fill="1E293B"/>
            <w:tcMar>
              <w:top w:w="50" w:type="dxa"/>
              <w:bottom w:w="50" w:type="dxa"/>
              <w:left w:w="60" w:type="dxa"/>
              <w:right w:w="60" w:type="dxa"/>
            </w:tcMar>
          </w:tcPr>
          <w:p>
            <w:pPr>
              <w:spacing w:after="0"/>
            </w:pPr>
            <w:r>
              <w:rPr>
                <w:b/>
                <w:color w:val="FFFFFF"/>
                <w:sz w:val="15"/>
              </w:rPr>
              <w:t>Candidate Arrangement</w:t>
            </w:r>
          </w:p>
        </w:tc>
        <w:tc>
          <w:tcPr>
            <w:tcW w:type="dxa" w:w="1728"/>
            <w:shd w:fill="1E293B"/>
            <w:tcMar>
              <w:top w:w="50" w:type="dxa"/>
              <w:bottom w:w="50" w:type="dxa"/>
              <w:left w:w="60" w:type="dxa"/>
              <w:right w:w="60" w:type="dxa"/>
            </w:tcMar>
          </w:tcPr>
          <w:p>
            <w:pPr>
              <w:spacing w:after="0"/>
            </w:pPr>
            <w:r>
              <w:rPr>
                <w:b/>
                <w:color w:val="FFFFFF"/>
                <w:sz w:val="15"/>
              </w:rPr>
              <w:t>Schedule Model</w:t>
            </w:r>
          </w:p>
        </w:tc>
        <w:tc>
          <w:tcPr>
            <w:tcW w:type="dxa" w:w="2592"/>
            <w:shd w:fill="1E293B"/>
            <w:tcMar>
              <w:top w:w="50" w:type="dxa"/>
              <w:bottom w:w="50" w:type="dxa"/>
              <w:left w:w="60" w:type="dxa"/>
              <w:right w:w="60" w:type="dxa"/>
            </w:tcMar>
          </w:tcPr>
          <w:p>
            <w:pPr>
              <w:spacing w:after="0"/>
            </w:pPr>
            <w:r>
              <w:rPr>
                <w:b/>
                <w:color w:val="FFFFFF"/>
                <w:sz w:val="15"/>
              </w:rPr>
              <w:t>Access &amp; Safety Trade-offs</w:t>
            </w:r>
          </w:p>
        </w:tc>
        <w:tc>
          <w:tcPr>
            <w:tcW w:type="dxa" w:w="1728"/>
            <w:shd w:fill="1E293B"/>
            <w:tcMar>
              <w:top w:w="50" w:type="dxa"/>
              <w:bottom w:w="50" w:type="dxa"/>
              <w:left w:w="60" w:type="dxa"/>
              <w:right w:w="60" w:type="dxa"/>
            </w:tcMar>
          </w:tcPr>
          <w:p>
            <w:pPr>
              <w:spacing w:after="0"/>
            </w:pPr>
            <w:r>
              <w:rPr>
                <w:b/>
                <w:color w:val="FFFFFF"/>
                <w:sz w:val="15"/>
              </w:rPr>
              <w:t>Operational Feasibility</w:t>
            </w:r>
          </w:p>
        </w:tc>
        <w:tc>
          <w:tcPr>
            <w:tcW w:type="dxa" w:w="1973"/>
            <w:shd w:fill="1E293B"/>
            <w:tcMar>
              <w:top w:w="50" w:type="dxa"/>
              <w:bottom w:w="50" w:type="dxa"/>
              <w:left w:w="60" w:type="dxa"/>
              <w:right w:w="60" w:type="dxa"/>
            </w:tcMar>
          </w:tcPr>
          <w:p>
            <w:pPr>
              <w:spacing w:after="0"/>
            </w:pPr>
            <w:r>
              <w:rPr>
                <w:b/>
                <w:color w:val="FFFFFF"/>
                <w:sz w:val="15"/>
              </w:rPr>
              <w:t>Review Gate Status</w:t>
            </w:r>
          </w:p>
        </w:tc>
      </w:tr>
      <w:tr>
        <w:tc>
          <w:tcPr>
            <w:tcW w:type="dxa" w:w="2016"/>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Arrangement A: Sequential Phasing</w:t>
            </w:r>
          </w:p>
        </w:tc>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Sequential (96.0 d: 21d + 45d + 30d)</w:t>
            </w:r>
          </w:p>
        </w:tc>
        <w:tc>
          <w:tcPr>
            <w:tcW w:type="dxa" w:w="259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Predictable single workzone footprint; longest overall duration; western detours +354.9 m.</w:t>
            </w:r>
          </w:p>
        </w:tc>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Feasible on existing carriageway; review pending.</w:t>
            </w:r>
          </w:p>
        </w:tc>
        <w:tc>
          <w:tcPr>
            <w:tcW w:type="dxa" w:w="1973"/>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NO_VERIFIED_OPTION (Requires multi-stakeholder formal sign-off)</w:t>
            </w:r>
          </w:p>
        </w:tc>
      </w:tr>
      <w:tr>
        <w:tc>
          <w:tcPr>
            <w:tcW w:type="dxa" w:w="2016"/>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Arrangement B: Managed Contraflow</w:t>
            </w:r>
          </w:p>
        </w:tc>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Sequential (96.0 d: 21d + 45d + 30d)</w:t>
            </w:r>
          </w:p>
        </w:tc>
        <w:tc>
          <w:tcPr>
            <w:tcW w:type="dxa" w:w="259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Recovers 174.5 m arterial access via flaggers; severely narrows pedestrian walkway (&lt;1.2 m).</w:t>
            </w:r>
          </w:p>
        </w:tc>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Physically feasible with barriers; review pending.</w:t>
            </w:r>
          </w:p>
        </w:tc>
        <w:tc>
          <w:tcPr>
            <w:tcW w:type="dxa" w:w="1973"/>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NO_VERIFIED_OPTION (Requires pedestrian safety clearance)</w:t>
            </w:r>
          </w:p>
        </w:tc>
      </w:tr>
      <w:tr>
        <w:tc>
          <w:tcPr>
            <w:tcW w:type="dxa" w:w="2016"/>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Arrangement C: Concurrent Civil Works</w:t>
            </w:r>
          </w:p>
        </w:tc>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Concurrent (62.4 d, illustrative 35% time compression assumption)</w:t>
            </w:r>
          </w:p>
        </w:tc>
        <w:tc>
          <w:tcPr>
            <w:tcW w:type="dxa" w:w="259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Shortens duration by 35% (unvalidated assumption); simultaneous closures cause severe collector gridlock.</w:t>
            </w:r>
          </w:p>
        </w:tc>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High congestion risk; exceeds network capacity.</w:t>
            </w:r>
          </w:p>
        </w:tc>
        <w:tc>
          <w:tcPr>
            <w:tcW w:type="dxa" w:w="1973"/>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INELIGIBLE_CONSTRAINTS (Concurrent closures exceed corridor capacity)</w:t>
            </w:r>
          </w:p>
        </w:tc>
      </w:tr>
    </w:tbl>
    <w:p>
      <w:pPr>
        <w:spacing w:after="40"/>
      </w:pPr>
    </w:p>
    <w:p>
      <w:pPr>
        <w:spacing w:after="40"/>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02_step2_access_impact.png"/>
                    <pic:cNvPicPr/>
                  </pic:nvPicPr>
                  <pic:blipFill>
                    <a:blip r:embed="rId9"/>
                    <a:stretch>
                      <a:fillRect/>
                    </a:stretch>
                  </pic:blipFill>
                  <pic:spPr>
                    <a:xfrm>
                      <a:off x="0" y="0"/>
                      <a:ext cx="6217920" cy="3886200"/>
                    </a:xfrm>
                    <a:prstGeom prst="rect"/>
                  </pic:spPr>
                </pic:pic>
              </a:graphicData>
            </a:graphic>
          </wp:inline>
        </w:drawing>
      </w:r>
    </w:p>
    <w:p>
      <w:pPr>
        <w:spacing w:after="80"/>
        <w:jc w:val="center"/>
      </w:pPr>
      <w:r>
        <w:rPr>
          <w:i/>
          <w:color w:val="64748B"/>
          <w:sz w:val="15"/>
        </w:rPr>
        <w:t>Figure 1: Live SafeBuild prototype interface (Step 2: Check Community Access). Demonstrates genuine MapLibre WebGL canvas, authentic Kakkanad OSM highway geometry, baseline vs. restricted shortest path rerouting to Sunrise Hospital (+354.9 m detour), and structured task panel.</w:t>
      </w:r>
    </w:p>
    <w:p>
      <w:r>
        <w:br w:type="page"/>
      </w:r>
    </w:p>
    <w:p>
      <w:pPr>
        <w:spacing w:before="80" w:after="60"/>
      </w:pPr>
      <w:r>
        <w:rPr>
          <w:b/>
          <w:color w:val="0F172A"/>
          <w:sz w:val="26"/>
        </w:rPr>
        <w:t>4. ENGINEERING RELEVANCE AND TECHNOLOGY DOMAIN</w:t>
      </w:r>
    </w:p>
    <w:p>
      <w:r>
        <w:t>SafeBuild operates at the convergence of six foundational engineering and computational disciplines. It balances physical roadway infrastructure constraints with digital decision algorithms:</w:t>
      </w:r>
    </w:p>
    <w:tbl>
      <w:tblPr>
        <w:tblW w:type="auto" w:w="0"/>
        <w:jc w:val="center"/>
        <w:tblLook w:firstColumn="1" w:firstRow="1" w:lastColumn="0" w:lastRow="0" w:noHBand="0" w:noVBand="1" w:val="04A0"/>
      </w:tblPr>
      <w:tblGrid>
        <w:gridCol w:w="2509"/>
        <w:gridCol w:w="2509"/>
        <w:gridCol w:w="2509"/>
        <w:gridCol w:w="2509"/>
      </w:tblGrid>
      <w:tr>
        <w:tc>
          <w:tcPr>
            <w:tcW w:type="dxa" w:w="1728"/>
            <w:shd w:fill="0F766E"/>
            <w:tcMar>
              <w:top w:w="50" w:type="dxa"/>
              <w:bottom w:w="50" w:type="dxa"/>
              <w:left w:w="60" w:type="dxa"/>
              <w:right w:w="60" w:type="dxa"/>
            </w:tcMar>
          </w:tcPr>
          <w:p>
            <w:pPr>
              <w:spacing w:after="0"/>
            </w:pPr>
            <w:r>
              <w:rPr>
                <w:b/>
                <w:color w:val="FFFFFF"/>
                <w:sz w:val="15"/>
              </w:rPr>
              <w:t>Engineering Discipline</w:t>
            </w:r>
          </w:p>
        </w:tc>
        <w:tc>
          <w:tcPr>
            <w:tcW w:type="dxa" w:w="2160"/>
            <w:shd w:fill="0F766E"/>
            <w:tcMar>
              <w:top w:w="50" w:type="dxa"/>
              <w:bottom w:w="50" w:type="dxa"/>
              <w:left w:w="60" w:type="dxa"/>
              <w:right w:w="60" w:type="dxa"/>
            </w:tcMar>
          </w:tcPr>
          <w:p>
            <w:pPr>
              <w:spacing w:after="0"/>
            </w:pPr>
            <w:r>
              <w:rPr>
                <w:b/>
                <w:color w:val="FFFFFF"/>
                <w:sz w:val="15"/>
              </w:rPr>
              <w:t>Physical Domain Focus (“Bolts”)</w:t>
            </w:r>
          </w:p>
        </w:tc>
        <w:tc>
          <w:tcPr>
            <w:tcW w:type="dxa" w:w="2592"/>
            <w:shd w:fill="0F766E"/>
            <w:tcMar>
              <w:top w:w="50" w:type="dxa"/>
              <w:bottom w:w="50" w:type="dxa"/>
              <w:left w:w="60" w:type="dxa"/>
              <w:right w:w="60" w:type="dxa"/>
            </w:tcMar>
          </w:tcPr>
          <w:p>
            <w:pPr>
              <w:spacing w:after="0"/>
            </w:pPr>
            <w:r>
              <w:rPr>
                <w:b/>
                <w:color w:val="FFFFFF"/>
                <w:sz w:val="15"/>
              </w:rPr>
              <w:t>Digital Technology Focus (“Bots”)</w:t>
            </w:r>
          </w:p>
        </w:tc>
        <w:tc>
          <w:tcPr>
            <w:tcW w:type="dxa" w:w="3557"/>
            <w:shd w:fill="0F766E"/>
            <w:tcMar>
              <w:top w:w="50" w:type="dxa"/>
              <w:bottom w:w="50" w:type="dxa"/>
              <w:left w:w="60" w:type="dxa"/>
              <w:right w:w="60" w:type="dxa"/>
            </w:tcMar>
          </w:tcPr>
          <w:p>
            <w:pPr>
              <w:spacing w:after="0"/>
            </w:pPr>
            <w:r>
              <w:rPr>
                <w:b/>
                <w:color w:val="FFFFFF"/>
                <w:sz w:val="15"/>
              </w:rPr>
              <w:t>Integrated SafeBuild Contribution</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Civil &amp; Highway Engineering</w:t>
            </w:r>
          </w:p>
        </w:tc>
        <w:tc>
          <w:tcPr>
            <w:tcW w:type="dxa" w:w="216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Geometric design, carriageway width, workzone safety buffers, barrier clearance.</w:t>
            </w:r>
          </w:p>
        </w:tc>
        <w:tc>
          <w:tcPr>
            <w:tcW w:type="dxa" w:w="259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Network topology modeling, roadway class impedance, one-way enforcement.</w:t>
            </w:r>
          </w:p>
        </w:tc>
        <w:tc>
          <w:tcPr>
            <w:tcW w:type="dxa" w:w="355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Verifies whether physical diversions accommodate required traffic classes safely.</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Transportation Engineering</w:t>
            </w:r>
          </w:p>
        </w:tc>
        <w:tc>
          <w:tcPr>
            <w:tcW w:type="dxa" w:w="216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Network connectivity, traffic circulation, turning radii, pedestrian permeability.</w:t>
            </w:r>
          </w:p>
        </w:tc>
        <w:tc>
          <w:tcPr>
            <w:tcW w:type="dxa" w:w="259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Dijkstra shortest path algorithm, multi-origin routing, detour delta calculation.</w:t>
            </w:r>
          </w:p>
        </w:tc>
        <w:tc>
          <w:tcPr>
            <w:tcW w:type="dxa" w:w="355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Quantifies community accessibility loss and identifies critical access cut-offs.</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Geospatial Engineering (GIS)</w:t>
            </w:r>
          </w:p>
        </w:tc>
        <w:tc>
          <w:tcPr>
            <w:tcW w:type="dxa" w:w="216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Real-world coordinates, terrain topography, surveyed facility ingress points.</w:t>
            </w:r>
          </w:p>
        </w:tc>
        <w:tc>
          <w:tcPr>
            <w:tcW w:type="dxa" w:w="259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WGS84 to UTM Zone 43N planar projection, KD-Tree spatial indexing.</w:t>
            </w:r>
          </w:p>
        </w:tc>
        <w:tc>
          <w:tcPr>
            <w:tcW w:type="dxa" w:w="355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Ensures meter-accurate Euclidean distance routing on authentic OSM networks.</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Computer Science &amp; Graph Theory</w:t>
            </w:r>
          </w:p>
        </w:tc>
        <w:tc>
          <w:tcPr>
            <w:tcW w:type="dxa" w:w="216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Physical road segments and intersections as graph edges and nodes.</w:t>
            </w:r>
          </w:p>
        </w:tc>
        <w:tc>
          <w:tcPr>
            <w:tcW w:type="dxa" w:w="259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Directed multi-graphs, topological sorting, Depth-First Search cycle detection.</w:t>
            </w:r>
          </w:p>
        </w:tc>
        <w:tc>
          <w:tcPr>
            <w:tcW w:type="dxa" w:w="355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Guarantees acyclic phase dependencies and deterministic, zero-variance routing.</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Artificial Intelligence &amp; NLP</w:t>
            </w:r>
          </w:p>
        </w:tc>
        <w:tc>
          <w:tcPr>
            <w:tcW w:type="dxa" w:w="216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Engineering judgment boundaries, ethical communication safeguards.</w:t>
            </w:r>
          </w:p>
        </w:tc>
        <w:tc>
          <w:tcPr>
            <w:tcW w:type="dxa" w:w="259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Context-constrained retrieval, grounded synthesis, deterministic fallback.</w:t>
            </w:r>
          </w:p>
        </w:tc>
        <w:tc>
          <w:tcPr>
            <w:tcW w:type="dxa" w:w="355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Translates complex graph matrices into plain-language briefs without hallucinations.</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Operations Research</w:t>
            </w:r>
          </w:p>
        </w:tc>
        <w:tc>
          <w:tcPr>
            <w:tcW w:type="dxa" w:w="216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Construction phasing constraints, crew allocations, calendar duration limits.</w:t>
            </w:r>
          </w:p>
        </w:tc>
        <w:tc>
          <w:tcPr>
            <w:tcW w:type="dxa" w:w="259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Bounded multi-criteria trade-off comparison, schedule exposure meter-days.</w:t>
            </w:r>
          </w:p>
        </w:tc>
        <w:tc>
          <w:tcPr>
            <w:tcW w:type="dxa" w:w="355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Evaluates competing construction arrangements against accessibility criteria.</w:t>
            </w:r>
          </w:p>
        </w:tc>
      </w:tr>
    </w:tbl>
    <w:p>
      <w:pPr>
        <w:spacing w:after="80"/>
      </w:pPr>
    </w:p>
    <w:p>
      <w:pPr>
        <w:spacing w:before="80" w:after="60"/>
      </w:pPr>
      <w:r>
        <w:rPr>
          <w:b/>
          <w:color w:val="0F172A"/>
          <w:sz w:val="26"/>
        </w:rPr>
        <w:t>5. MARKET SURVEY AND USER VALIDATION PLAN</w:t>
      </w:r>
    </w:p>
    <w:p>
      <w:r>
        <w:rPr>
          <w:b/>
        </w:rPr>
        <w:t xml:space="preserve">5.1 Proposed Stakeholder Validation Methodology: </w:t>
      </w:r>
      <w:r>
        <w:t>To establish product-market alignment and operational viability, a structured field validation study is planned across the Kochi metropolitan area. The survey targets a sample size of 45 to 60 domain practitioners across five distinct stakeholder cohorts: (1) Municipal Corporation Engineers (Kochi Municipal Corp), (2) State Public Works Department (PWD Roads Division) officers, (3) Urban Transit Project Engineers (Kochi Metro Rail Ltd infrastructure divisions), (4) Civil Construction EPC Contractors, and (5) Local Commercial Associations &amp; Resident Welfare Associations along the corridor. (Status: This research design represents a planned validation framework; primary survey execution remains scheduled for the subsequent development phase).</w:t>
      </w:r>
    </w:p>
    <w:p>
      <w:r>
        <w:rPr>
          <w:b/>
        </w:rPr>
        <w:t xml:space="preserve">5.2 Key Inquiry Dimensions &amp; Survey Instrument: </w:t>
      </w:r>
      <w:r>
        <w:t>The planned investigation evaluates seven core operational inquiries: • How are traffic diversions currently developed and approved during major roadwork? • What tools, if any, are utilized to quantify community accessibility severance prior to road closures? • How are construction phase sequences evaluated against local access constraints? • What critical data is missing during inter-agency traffic management coordination meetings? • How much professional engineering time is dedicated to manually reviewing candidate diversion routes? • How effectively are temporary restrictions communicated to affected residents and emergency services? • Which specific SafeBuild outputs (detour deltas, exposure days, PDF briefs) would provide the greatest operational utility?</w:t>
      </w:r>
    </w:p>
    <w:p>
      <w:r>
        <w:rPr>
          <w:b/>
        </w:rPr>
        <w:t xml:space="preserve">Rigorous Implementation Classification Matrix: </w:t>
      </w:r>
    </w:p>
    <w:tbl>
      <w:tblPr>
        <w:tblW w:type="auto" w:w="0"/>
        <w:jc w:val="center"/>
        <w:tblLook w:firstColumn="1" w:firstRow="1" w:lastColumn="0" w:lastRow="0" w:noHBand="0" w:noVBand="1" w:val="04A0"/>
      </w:tblPr>
      <w:tblGrid>
        <w:gridCol w:w="3346"/>
        <w:gridCol w:w="3346"/>
        <w:gridCol w:w="3346"/>
      </w:tblGrid>
      <w:tr>
        <w:tc>
          <w:tcPr>
            <w:tcW w:type="dxa" w:w="1728"/>
            <w:shd w:fill="0F766E"/>
            <w:tcMar>
              <w:top w:w="50" w:type="dxa"/>
              <w:bottom w:w="50" w:type="dxa"/>
              <w:left w:w="60" w:type="dxa"/>
              <w:right w:w="60" w:type="dxa"/>
            </w:tcMar>
          </w:tcPr>
          <w:p>
            <w:pPr>
              <w:spacing w:after="0"/>
            </w:pPr>
            <w:r>
              <w:rPr>
                <w:b/>
                <w:color w:val="FFFFFF"/>
                <w:sz w:val="15"/>
              </w:rPr>
              <w:t>Classification</w:t>
            </w:r>
          </w:p>
        </w:tc>
        <w:tc>
          <w:tcPr>
            <w:tcW w:type="dxa" w:w="4032"/>
            <w:shd w:fill="0F766E"/>
            <w:tcMar>
              <w:top w:w="50" w:type="dxa"/>
              <w:bottom w:w="50" w:type="dxa"/>
              <w:left w:w="60" w:type="dxa"/>
              <w:right w:w="60" w:type="dxa"/>
            </w:tcMar>
          </w:tcPr>
          <w:p>
            <w:pPr>
              <w:spacing w:after="0"/>
            </w:pPr>
            <w:r>
              <w:rPr>
                <w:b/>
                <w:color w:val="FFFFFF"/>
                <w:sz w:val="15"/>
              </w:rPr>
              <w:t>Current Engineering Status in SafeBuild Project</w:t>
            </w:r>
          </w:p>
        </w:tc>
        <w:tc>
          <w:tcPr>
            <w:tcW w:type="dxa" w:w="4277"/>
            <w:shd w:fill="0F766E"/>
            <w:tcMar>
              <w:top w:w="50" w:type="dxa"/>
              <w:bottom w:w="50" w:type="dxa"/>
              <w:left w:w="60" w:type="dxa"/>
              <w:right w:w="60" w:type="dxa"/>
            </w:tcMar>
          </w:tcPr>
          <w:p>
            <w:pPr>
              <w:spacing w:after="0"/>
            </w:pPr>
            <w:r>
              <w:rPr>
                <w:b/>
                <w:color w:val="FFFFFF"/>
                <w:sz w:val="15"/>
              </w:rPr>
              <w:t>Verification Evidence &amp; Audit Method</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IMPLEMENTED</w:t>
            </w:r>
          </w:p>
        </w:tc>
        <w:tc>
          <w:tcPr>
            <w:tcW w:type="dxa" w:w="403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5-State Graph Algebra, Dijkstra routing engine, phase dependency cycle detection, Next.js UI, ReportLab engine.</w:t>
            </w:r>
          </w:p>
        </w:tc>
        <w:tc>
          <w:tcPr>
            <w:tcW w:type="dxa" w:w="427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Fully functional source code in repository; verified reproducible endpoints (:8000, :3000).</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TESTED</w:t>
            </w:r>
          </w:p>
        </w:tc>
        <w:tc>
          <w:tcPr>
            <w:tcW w:type="dxa" w:w="403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17 automated test checks (100% pass rate in 11.9s); independent reference script convergence (0.0098 m).</w:t>
            </w:r>
          </w:p>
        </w:tc>
        <w:tc>
          <w:tcPr>
            <w:tcW w:type="dxa" w:w="427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SafeBuild_Test_Results.csv; scripts/independent_verification.py execution.</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ASSUMED</w:t>
            </w:r>
          </w:p>
        </w:tc>
        <w:tc>
          <w:tcPr>
            <w:tcW w:type="dxa" w:w="403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Palarivattom–Kakkanad hypothetical closure; 21d, 45d, 30d phase durations; 35% concurrent time compression.</w:t>
            </w:r>
          </w:p>
        </w:tc>
        <w:tc>
          <w:tcPr>
            <w:tcW w:type="dxa" w:w="427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Clearly documented scenario constraints; illustrative assumptions for modeling demonstration.</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PLANNED</w:t>
            </w:r>
          </w:p>
        </w:tc>
        <w:tc>
          <w:tcPr>
            <w:tcW w:type="dxa" w:w="403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45–60 respondent practitioner validation survey; multi-corridor deployment; dynamic traffic assignment (DTA).</w:t>
            </w:r>
          </w:p>
        </w:tc>
        <w:tc>
          <w:tcPr>
            <w:tcW w:type="dxa" w:w="4277"/>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Detailed methodology formulated; stakeholder outreach scheduled for Stage 3.</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VERIFICATION PENDING</w:t>
            </w:r>
          </w:p>
        </w:tc>
        <w:tc>
          <w:tcPr>
            <w:tcW w:type="dxa" w:w="403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Physical cross-section sidewalk measurements; joint on-site review with municipal transport authorities.</w:t>
            </w:r>
          </w:p>
        </w:tc>
        <w:tc>
          <w:tcPr>
            <w:tcW w:type="dxa" w:w="4277"/>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Enforced by strict programmatic review gate (NO_VERIFIED_OPTION output).</w:t>
            </w:r>
          </w:p>
        </w:tc>
      </w:tr>
    </w:tbl>
    <w:p>
      <w:r>
        <w:br w:type="page"/>
      </w:r>
    </w:p>
    <w:p>
      <w:pPr>
        <w:spacing w:before="80" w:after="60"/>
      </w:pPr>
      <w:r>
        <w:rPr>
          <w:b/>
          <w:color w:val="0F172A"/>
          <w:sz w:val="26"/>
        </w:rPr>
        <w:t>6. PROJECT BENEFITS</w:t>
      </w:r>
    </w:p>
    <w:p>
      <w:r>
        <w:t>SafeBuild delivers multifaceted improvements across social equity, engineering rigor, economic productivity, and environmental impact. The table below details these expected gains alongside measurable future evaluation indicators:</w:t>
      </w:r>
    </w:p>
    <w:tbl>
      <w:tblPr>
        <w:tblW w:type="auto" w:w="0"/>
        <w:jc w:val="center"/>
        <w:tblLook w:firstColumn="1" w:firstRow="1" w:lastColumn="0" w:lastRow="0" w:noHBand="0" w:noVBand="1" w:val="04A0"/>
      </w:tblPr>
      <w:tblGrid>
        <w:gridCol w:w="3346"/>
        <w:gridCol w:w="3346"/>
        <w:gridCol w:w="3346"/>
      </w:tblGrid>
      <w:tr>
        <w:tc>
          <w:tcPr>
            <w:tcW w:type="dxa" w:w="1728"/>
            <w:shd w:fill="0F766E"/>
            <w:tcMar>
              <w:top w:w="50" w:type="dxa"/>
              <w:bottom w:w="50" w:type="dxa"/>
              <w:left w:w="60" w:type="dxa"/>
              <w:right w:w="60" w:type="dxa"/>
            </w:tcMar>
          </w:tcPr>
          <w:p>
            <w:pPr>
              <w:spacing w:after="0"/>
            </w:pPr>
            <w:r>
              <w:rPr>
                <w:b/>
                <w:color w:val="FFFFFF"/>
                <w:sz w:val="15"/>
              </w:rPr>
              <w:t>Benefit Domain</w:t>
            </w:r>
          </w:p>
        </w:tc>
        <w:tc>
          <w:tcPr>
            <w:tcW w:type="dxa" w:w="4320"/>
            <w:shd w:fill="0F766E"/>
            <w:tcMar>
              <w:top w:w="50" w:type="dxa"/>
              <w:bottom w:w="50" w:type="dxa"/>
              <w:left w:w="60" w:type="dxa"/>
              <w:right w:w="60" w:type="dxa"/>
            </w:tcMar>
          </w:tcPr>
          <w:p>
            <w:pPr>
              <w:spacing w:after="0"/>
            </w:pPr>
            <w:r>
              <w:rPr>
                <w:b/>
                <w:color w:val="FFFFFF"/>
                <w:sz w:val="15"/>
              </w:rPr>
              <w:t>Anticipated Operational Gains</w:t>
            </w:r>
          </w:p>
        </w:tc>
        <w:tc>
          <w:tcPr>
            <w:tcW w:type="dxa" w:w="3989"/>
            <w:shd w:fill="0F766E"/>
            <w:tcMar>
              <w:top w:w="50" w:type="dxa"/>
              <w:bottom w:w="50" w:type="dxa"/>
              <w:left w:w="60" w:type="dxa"/>
              <w:right w:w="60" w:type="dxa"/>
            </w:tcMar>
          </w:tcPr>
          <w:p>
            <w:pPr>
              <w:spacing w:after="0"/>
            </w:pPr>
            <w:r>
              <w:rPr>
                <w:b/>
                <w:color w:val="FFFFFF"/>
                <w:sz w:val="15"/>
              </w:rPr>
              <w:t>Measurable Engineering Evaluation Indicators</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Social &amp; Community Equity</w:t>
            </w:r>
          </w:p>
        </w:tc>
        <w:tc>
          <w:tcPr>
            <w:tcW w:type="dxa" w:w="432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Preserves uninterrupted access to tertiary hospitals and schools; protects continuous pedestrian walkways; prevents disproportionate severance of vulnerable enclaves.</w:t>
            </w:r>
          </w:p>
        </w:tc>
        <w:tc>
          <w:tcPr>
            <w:tcW w:type="dxa" w:w="3989"/>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 Number of newly disconnected origins (Target = 0)</w:t>
              <w:br/>
              <w:t>• Accessible healthcare facilities during workzones</w:t>
              <w:br/>
              <w:t>• Pedestrian walkway width maintenance (≥ 1.5 m)</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Engineering &amp; Planning Rigor</w:t>
            </w:r>
          </w:p>
        </w:tc>
        <w:tc>
          <w:tcPr>
            <w:tcW w:type="dxa" w:w="432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Replaces subjective guesswork with deterministic graph-theoretic routing; detects scheduling circularities; establishes transparent, auditable decision briefs.</w:t>
            </w:r>
          </w:p>
        </w:tc>
        <w:tc>
          <w:tcPr>
            <w:tcW w:type="dxa" w:w="3989"/>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 Planning review cycle turnaround time (hours)</w:t>
              <w:br/>
              <w:t>• Detected dependency cycles prior to site setup</w:t>
              <w:br/>
              <w:t>• Invariant preservation across 100% of phases</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Economic &amp; Commercial Viability</w:t>
            </w:r>
          </w:p>
        </w:tc>
        <w:tc>
          <w:tcPr>
            <w:tcW w:type="dxa" w:w="432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Reduces avoidable detour mileage; preserves patron ingress and delivery logistics for commercial establishments; avoids costly work halts.</w:t>
            </w:r>
          </w:p>
        </w:tc>
        <w:tc>
          <w:tcPr>
            <w:tcW w:type="dxa" w:w="3989"/>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 Cumulative detour exposure (meter-days)</w:t>
              <w:br/>
              <w:t>• Avoided commercial access severance days</w:t>
              <w:br/>
              <w:t>• Engineering staff-hours saved per diversion plan</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Environmental Sustainability</w:t>
            </w:r>
          </w:p>
        </w:tc>
        <w:tc>
          <w:tcPr>
            <w:tcW w:type="dxa" w:w="4320"/>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Minimizing circuitous vehicular detour distances reduces excess vehicle-kilometers traveled (VKT), potentially lowering localized fuel consumption and idling emissions.</w:t>
            </w:r>
          </w:p>
        </w:tc>
        <w:tc>
          <w:tcPr>
            <w:tcW w:type="dxa" w:w="3989"/>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 Modeled net reduction in detour VKT (km)</w:t>
              <w:br/>
              <w:t>• Avoided detour-induced vehicle idling hours</w:t>
              <w:br/>
              <w:t>(Note: Potential model outcome, not observed metric)</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Scalability &amp; Architecture</w:t>
            </w:r>
          </w:p>
        </w:tc>
        <w:tc>
          <w:tcPr>
            <w:tcW w:type="dxa" w:w="4320"/>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Engineered on open-source libraries (NetworkX, FastAPI, Next.js, MapLibre); zero per-seat proprietary GIS licensing fees; portable across any OSM-mapped urban center.</w:t>
            </w:r>
          </w:p>
        </w:tc>
        <w:tc>
          <w:tcPr>
            <w:tcW w:type="dxa" w:w="3989"/>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 Onboarding time for new municipality networks</w:t>
              <w:br/>
              <w:t>• Automated OSM import &amp; referential integrity rate</w:t>
              <w:br/>
              <w:t>• Server infrastructure runtime cost per study area</w:t>
            </w:r>
          </w:p>
        </w:tc>
      </w:tr>
    </w:tbl>
    <w:p>
      <w:pPr>
        <w:spacing w:after="60"/>
      </w:pPr>
    </w:p>
    <w:p>
      <w:pPr>
        <w:spacing w:before="80" w:after="60"/>
      </w:pPr>
      <w:r>
        <w:rPr>
          <w:b/>
          <w:color w:val="0F172A"/>
          <w:sz w:val="26"/>
        </w:rPr>
        <w:t>7. MARKET ASSESSMENT AND READINESS</w:t>
      </w:r>
    </w:p>
    <w:p>
      <w:r>
        <w:rPr>
          <w:b/>
        </w:rPr>
        <w:t xml:space="preserve">7.1 Potential Customer Segments: </w:t>
      </w:r>
      <w:r>
        <w:t>SafeBuild addresses institutional decision-makers who commission, regulate, or execute urban infrastructure: (1) Municipal Corporations &amp; Urban Local Bodies (ULBs): Seeking to protect civic connectivity and minimize citizen grievances. (2) State Public Works Departments (PWD): Mandated to formulate formal traffic diversion plans for arterial works. (3) Urban Transit &amp; Highway Authorities (e.g. Metro Rail Corporations, NHAI): Coordinating multi-year viaduct and corridor construction. (4) Civil Infrastructure EPC Contractors: Requiring objective evidence to demonstrate community access compliance and avoid contract penalties. (5) Traffic Planning &amp; Engineering Consultancies: Performing statutory traffic management studies for infrastructure tenders. (Status: Prospective customer segments; no commercial contracts or municipal adoptions are claimed).</w:t>
      </w:r>
    </w:p>
    <w:tbl>
      <w:tblPr>
        <w:tblW w:type="auto" w:w="0"/>
        <w:jc w:val="center"/>
        <w:tblLook w:firstColumn="1" w:firstRow="1" w:lastColumn="0" w:lastRow="0" w:noHBand="0" w:noVBand="1" w:val="04A0"/>
      </w:tblPr>
      <w:tblGrid>
        <w:gridCol w:w="2509"/>
        <w:gridCol w:w="2509"/>
        <w:gridCol w:w="2509"/>
        <w:gridCol w:w="2509"/>
      </w:tblGrid>
      <w:tr>
        <w:tc>
          <w:tcPr>
            <w:tcW w:type="dxa" w:w="1728"/>
            <w:shd w:fill="1E293B"/>
            <w:tcMar>
              <w:top w:w="50" w:type="dxa"/>
              <w:bottom w:w="50" w:type="dxa"/>
              <w:left w:w="60" w:type="dxa"/>
              <w:right w:w="60" w:type="dxa"/>
            </w:tcMar>
          </w:tcPr>
          <w:p>
            <w:pPr>
              <w:spacing w:after="0"/>
            </w:pPr>
            <w:r>
              <w:rPr>
                <w:b/>
                <w:color w:val="FFFFFF"/>
                <w:sz w:val="15"/>
              </w:rPr>
              <w:t>Solution Category</w:t>
            </w:r>
          </w:p>
        </w:tc>
        <w:tc>
          <w:tcPr>
            <w:tcW w:type="dxa" w:w="1872"/>
            <w:shd w:fill="1E293B"/>
            <w:tcMar>
              <w:top w:w="50" w:type="dxa"/>
              <w:bottom w:w="50" w:type="dxa"/>
              <w:left w:w="60" w:type="dxa"/>
              <w:right w:w="60" w:type="dxa"/>
            </w:tcMar>
          </w:tcPr>
          <w:p>
            <w:pPr>
              <w:spacing w:after="0"/>
            </w:pPr>
            <w:r>
              <w:rPr>
                <w:b/>
                <w:color w:val="FFFFFF"/>
                <w:sz w:val="15"/>
              </w:rPr>
              <w:t>Representative Platforms</w:t>
            </w:r>
          </w:p>
        </w:tc>
        <w:tc>
          <w:tcPr>
            <w:tcW w:type="dxa" w:w="3168"/>
            <w:shd w:fill="1E293B"/>
            <w:tcMar>
              <w:top w:w="50" w:type="dxa"/>
              <w:bottom w:w="50" w:type="dxa"/>
              <w:left w:w="60" w:type="dxa"/>
              <w:right w:w="60" w:type="dxa"/>
            </w:tcMar>
          </w:tcPr>
          <w:p>
            <w:pPr>
              <w:spacing w:after="0"/>
            </w:pPr>
            <w:r>
              <w:rPr>
                <w:b/>
                <w:color w:val="FFFFFF"/>
                <w:sz w:val="15"/>
              </w:rPr>
              <w:t>Core Capabilities</w:t>
            </w:r>
          </w:p>
        </w:tc>
        <w:tc>
          <w:tcPr>
            <w:tcW w:type="dxa" w:w="3269"/>
            <w:shd w:fill="1E293B"/>
            <w:tcMar>
              <w:top w:w="50" w:type="dxa"/>
              <w:bottom w:w="50" w:type="dxa"/>
              <w:left w:w="60" w:type="dxa"/>
              <w:right w:w="60" w:type="dxa"/>
            </w:tcMar>
          </w:tcPr>
          <w:p>
            <w:pPr>
              <w:spacing w:after="0"/>
            </w:pPr>
            <w:r>
              <w:rPr>
                <w:b/>
                <w:color w:val="FFFFFF"/>
                <w:sz w:val="15"/>
              </w:rPr>
              <w:t>Critical Limitations Addressed by SafeBuild</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Commercial Navigation</w:t>
            </w:r>
          </w:p>
        </w:tc>
        <w:tc>
          <w:tcPr>
            <w:tcW w:type="dxa" w:w="187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Google Maps, Apple Maps, Waze</w:t>
            </w:r>
          </w:p>
        </w:tc>
        <w:tc>
          <w:tcPr>
            <w:tcW w:type="dxa" w:w="316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Dynamic driver re-routing around active closures; live GPS traffic probe data.</w:t>
            </w:r>
          </w:p>
        </w:tc>
        <w:tc>
          <w:tcPr>
            <w:tcW w:type="dxa" w:w="3269"/>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Post-closure focus only; cannot optimize pre-construction phase order or evaluate community equity.</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Desktop GIS Platforms</w:t>
            </w:r>
          </w:p>
        </w:tc>
        <w:tc>
          <w:tcPr>
            <w:tcW w:type="dxa" w:w="187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Esri ArcGIS Network Analyst, QGIS</w:t>
            </w:r>
          </w:p>
        </w:tc>
        <w:tc>
          <w:tcPr>
            <w:tcW w:type="dxa" w:w="316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Advanced spatial analysis, buffer generation, static network routing.</w:t>
            </w:r>
          </w:p>
        </w:tc>
        <w:tc>
          <w:tcPr>
            <w:tcW w:type="dxa" w:w="3269"/>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High per-seat licensing costs; steep learning curve; lacks native construction scheduling dependency logic.</w:t>
            </w:r>
          </w:p>
        </w:tc>
      </w:tr>
      <w:tr>
        <w:tc>
          <w:tcPr>
            <w:tcW w:type="dxa" w:w="172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Project Scheduling Tools</w:t>
            </w:r>
          </w:p>
        </w:tc>
        <w:tc>
          <w:tcPr>
            <w:tcW w:type="dxa" w:w="1872"/>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Oracle Primavera P6, Microsoft Project</w:t>
            </w:r>
          </w:p>
        </w:tc>
        <w:tc>
          <w:tcPr>
            <w:tcW w:type="dxa" w:w="3168"/>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CPM scheduling, resource allocation, Gantt chart dependency tracking.</w:t>
            </w:r>
          </w:p>
        </w:tc>
        <w:tc>
          <w:tcPr>
            <w:tcW w:type="dxa" w:w="3269"/>
            <w:shd w:fill="FFFFFF"/>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Completely blind to geospatial road topology, network impedance, and spatial community access severance.</w:t>
            </w:r>
          </w:p>
        </w:tc>
      </w:tr>
      <w:tr>
        <w:tc>
          <w:tcPr>
            <w:tcW w:type="dxa" w:w="172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b/>
                <w:sz w:val="14"/>
              </w:rPr>
              <w:t>Traffic Simulation Tools</w:t>
            </w:r>
          </w:p>
        </w:tc>
        <w:tc>
          <w:tcPr>
            <w:tcW w:type="dxa" w:w="1872"/>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PTV VISSIM, Aimsun, SUMO</w:t>
            </w:r>
          </w:p>
        </w:tc>
        <w:tc>
          <w:tcPr>
            <w:tcW w:type="dxa" w:w="3168"/>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Microscopic car-following simulation, queue lengths, dynamic signal timing.</w:t>
            </w:r>
          </w:p>
        </w:tc>
        <w:tc>
          <w:tcPr>
            <w:tcW w:type="dxa" w:w="3269"/>
            <w:shd w:fill="F8FAFC"/>
            <w:tcMar>
              <w:top w:w="40" w:type="dxa"/>
              <w:bottom w:w="40" w:type="dxa"/>
              <w:left w:w="60" w:type="dxa"/>
              <w:right w:w="60" w:type="dxa"/>
            </w:tcMar>
            <w:tcBorders>
              <w:top w:val="single" w:sz="4" w:space="0" w:color="CBD5E1"/>
              <w:left w:val="single" w:sz="4" w:space="0" w:color="CBD5E1"/>
              <w:bottom w:val="single" w:sz="4" w:space="0" w:color="CBD5E1"/>
              <w:right w:val="single" w:sz="4" w:space="0" w:color="CBD5E1"/>
            </w:tcBorders>
          </w:tcPr>
          <w:p>
            <w:pPr>
              <w:spacing w:after="0"/>
            </w:pPr>
            <w:r>
              <w:rPr>
                <w:sz w:val="14"/>
              </w:rPr>
              <w:t>Extreme data and calibration burden; computationally heavy; impractical for rapid scenario comparison.</w:t>
            </w:r>
          </w:p>
        </w:tc>
      </w:tr>
    </w:tbl>
    <w:p>
      <w:pPr>
        <w:spacing w:after="60"/>
      </w:pPr>
    </w:p>
    <w:tbl>
      <w:tblPr>
        <w:tblW w:type="auto" w:w="0"/>
        <w:jc w:val="center"/>
        <w:tblLook w:firstColumn="1" w:firstRow="1" w:lastColumn="0" w:lastRow="0" w:noHBand="0" w:noVBand="1" w:val="04A0"/>
      </w:tblPr>
      <w:tblGrid>
        <w:gridCol w:w="10037"/>
      </w:tblGrid>
      <w:tr>
        <w:tc>
          <w:tcPr>
            <w:tcW w:type="dxa" w:w="10037"/>
            <w:shd w:fill="F0FDF4"/>
            <w:tcBorders>
              <w:top w:val="single" w:sz="6" w:space="0" w:color="22C55E"/>
              <w:left w:val="single" w:sz="6" w:space="0" w:color="22C55E"/>
              <w:bottom w:val="single" w:sz="6" w:space="0" w:color="22C55E"/>
              <w:right w:val="single" w:sz="6" w:space="0" w:color="22C55E"/>
            </w:tcBorders>
            <w:tcMar>
              <w:top w:w="80" w:type="dxa"/>
              <w:bottom w:w="80" w:type="dxa"/>
              <w:left w:w="120" w:type="dxa"/>
              <w:right w:w="120" w:type="dxa"/>
            </w:tcMar>
          </w:tcPr>
          <w:p>
            <w:pPr>
              <w:spacing w:after="0"/>
            </w:pPr>
            <w:r>
              <w:rPr>
                <w:b/>
                <w:color w:val="15803D"/>
                <w:sz w:val="16"/>
              </w:rPr>
              <w:t xml:space="preserve">DEVELOPMENT READINESS DECLARATION: </w:t>
            </w:r>
            <w:r>
              <w:rPr>
                <w:i/>
                <w:color w:val="166534"/>
                <w:sz w:val="16"/>
              </w:rPr>
              <w:t>“Working prototype tested using real Kakkanad geographic data and hypothetical construction scenarios; field validation and authority review pending.” SafeBuild operates as a verified computational prototype. All algorithms execute deterministically, but operational deployment requires joint on-site surveys and formal statutory sanction.</w:t>
            </w:r>
          </w:p>
        </w:tc>
      </w:tr>
    </w:tbl>
    <w:p>
      <w:pPr>
        <w:spacing w:after="60"/>
      </w:pPr>
    </w:p>
    <w:p>
      <w:r>
        <w:rPr>
          <w:b/>
        </w:rPr>
        <w:t xml:space="preserve">7.2 Cost &amp; Financial Feasibility: </w:t>
      </w:r>
      <w:r>
        <w:t>The proposed implementation model leverages open-source geospatial foundations (OSM, NetworkX, MapLibre), avoiding recurring per-seat proprietary GIS licensing fees. An indicative student-led 3-month research development and validation budget is projected at Rs. 2,70,000 – Rs. 5,05,000: (a) Geospatial data engineering &amp; OSM curation: Rs. 60,000 – Rs. 1,10,000; (b) Platform development &amp; modeling enhancements: Rs. 1,10,000 – Rs. 2,00,000; (c) Field ground surveys &amp; cross-section validation: Rs. 60,000 – Rs. 1,15,000; (d) Stakeholder review workshops &amp; research dissemination: Rs. 40,000 – Rs. 80,000. Ongoing operational cloud hosting, periodic OSM network refreshes, and maintenance are estimated at Rs. 8,000 – Rs. 25,000 / month.</w:t>
      </w:r>
    </w:p>
    <w:p>
      <w:r>
        <w:rPr>
          <w:b/>
        </w:rPr>
        <w:t xml:space="preserve">7.3 Phased Implementation Roadmap: </w:t>
      </w:r>
      <w:r>
        <w:t>Stage 1: Core Prototype Verification (Completed) — Formalized 5-state algebra, Dijkstra engine, 17 automated tests, and independent verification. Stage 2: Supervised Scenario Validation (Current) — Comprehensive scenario modeling on Kakkanad corridor and evidence documentation. Stage 3: Stakeholder Engagement &amp; Surveys (Months 1–2) — Administer planned 45–60 practitioner study with Kochi municipal engineers and contractors. Stage 4: Parallel Advisory Trial (Months 3–4) — Evaluate SafeBuild shadow outputs alongside an active municipal roadwork project. Stage 5: Multi-Corridor Platform Refinement (Months 5–6) — Expand to 3 additional metropolitan corridors and integrate multi-destination routing. Stage 6: Municipality-Scale Integration (Future Horizon) — Open API integration with municipal GIS portals pending formal statutory sanction.</w:t>
      </w:r>
    </w:p>
    <w:p>
      <w:r>
        <w:rPr>
          <w:b/>
          <w:sz w:val="14"/>
        </w:rPr>
        <w:t xml:space="preserve">References &amp; Data Attribution: </w:t>
      </w:r>
      <w:r>
        <w:rPr>
          <w:color w:val="64748B"/>
          <w:sz w:val="14"/>
        </w:rPr>
        <w:t>(1) OpenStreetMap contributors, Open Database License (ODbL), https://www.openstreetmap.org/copyright; (2) Dijkstra, E. W. (1959). A note on two problems in connexion with graphs. Numerische Mathematik, 1(1), 269–271; (3) Hagberg, A., Swart, P., &amp; S Chult, D. (2008). Exploring network structure, dynamics, and function using NetworkX; (4) ReportLab Europe Ltd. ReportLab PDF Generation Library.</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