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SSAS-003-LKK Per Divisi</w:t>
      </w:r>
    </w:p>
    <w:p>
      <w:pPr>
        <w:pStyle w:val="NoSpacing"/>
      </w:pPr>
      <w:r>
        <w:t xml:space="preserve">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LKK Per Divisi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F-053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34/100 -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43 kolom; 10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2 eksekusi; total durasi 14085 ms; P50/P95/P99 7/14078/14078 ms; maksimum 14078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F-053 - Beban Kerja Runtime: </w:t>
      </w:r>
      <w:r>
        <w:t xml:space="preserve">[OBSERVED (teramati langsung); confidence TINGGI] Subset BUSINESS_CANDIDATE yang terekam: 2 eksekusi, total durasi 14085 ms, P50/P95/P99 7/14078/14078 ms, maksimum 14078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Finding-003-LKK Per Divisi</dc:title>
  <dc:subject>Assessment performa SSAS berbasis evidence</dc:subject>
  <dc:creator>SSAS Assessment</dc:creator>
  <cp:lastModifiedBy>SSAS Assessment</cp:lastModifiedBy>
  <cp:revision>1</cp:revision>
  <dcterms:created xsi:type="dcterms:W3CDTF">2026-09-14T17:34:50Z</dcterms:created>
  <dcterms:modified xsi:type="dcterms:W3CDTF">2026-09-14T17:34:50Z</dcterms:modified>
</cp:coreProperties>
</file>